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4475C" w14:textId="103DD1C7" w:rsidR="00586252" w:rsidRPr="003A1EDA" w:rsidRDefault="00586252" w:rsidP="00586252">
      <w:pPr>
        <w:rPr>
          <w:rFonts w:ascii="Arial" w:hAnsi="Arial" w:cs="Arial"/>
          <w:b/>
          <w:bCs/>
          <w:color w:val="002060"/>
        </w:rPr>
      </w:pPr>
      <w:r w:rsidRPr="003A1EDA">
        <w:rPr>
          <w:rFonts w:ascii="Arial" w:hAnsi="Arial" w:cs="Arial"/>
          <w:b/>
          <w:bCs/>
          <w:color w:val="002060"/>
        </w:rPr>
        <w:t xml:space="preserve">Corte di Cassazione Sezione Civile Ordinanza 18 giugno </w:t>
      </w:r>
      <w:proofErr w:type="gramStart"/>
      <w:r w:rsidRPr="003A1EDA">
        <w:rPr>
          <w:rFonts w:ascii="Arial" w:hAnsi="Arial" w:cs="Arial"/>
          <w:b/>
          <w:bCs/>
          <w:color w:val="002060"/>
        </w:rPr>
        <w:t>2026  n.</w:t>
      </w:r>
      <w:proofErr w:type="gramEnd"/>
      <w:r w:rsidRPr="003A1EDA">
        <w:rPr>
          <w:rFonts w:ascii="Arial" w:hAnsi="Arial" w:cs="Arial"/>
          <w:b/>
          <w:bCs/>
          <w:color w:val="002060"/>
        </w:rPr>
        <w:t xml:space="preserve"> 20605</w:t>
      </w:r>
    </w:p>
    <w:p w14:paraId="04527BE7" w14:textId="77777777" w:rsidR="00586252" w:rsidRPr="003A1EDA" w:rsidRDefault="00586252" w:rsidP="00586252">
      <w:pPr>
        <w:rPr>
          <w:rFonts w:ascii="Arial" w:hAnsi="Arial" w:cs="Arial"/>
        </w:rPr>
      </w:pPr>
    </w:p>
    <w:p w14:paraId="0F00DE95" w14:textId="77777777" w:rsidR="00586252" w:rsidRPr="003A1EDA" w:rsidRDefault="00586252" w:rsidP="00586252">
      <w:pPr>
        <w:rPr>
          <w:rFonts w:ascii="Arial" w:hAnsi="Arial" w:cs="Arial"/>
        </w:rPr>
      </w:pPr>
    </w:p>
    <w:p w14:paraId="422937E5" w14:textId="77777777" w:rsidR="00586252" w:rsidRPr="003A1EDA" w:rsidRDefault="00586252" w:rsidP="00586252">
      <w:pPr>
        <w:rPr>
          <w:rFonts w:ascii="Arial" w:hAnsi="Arial" w:cs="Arial"/>
        </w:rPr>
      </w:pPr>
    </w:p>
    <w:p w14:paraId="4252291A" w14:textId="77777777" w:rsidR="00586252" w:rsidRPr="003A1EDA" w:rsidRDefault="00586252" w:rsidP="00586252">
      <w:pPr>
        <w:rPr>
          <w:rFonts w:ascii="Arial" w:hAnsi="Arial" w:cs="Arial"/>
        </w:rPr>
      </w:pPr>
      <w:r w:rsidRPr="003A1EDA">
        <w:rPr>
          <w:rFonts w:ascii="Arial" w:hAnsi="Arial" w:cs="Arial"/>
        </w:rPr>
        <w:t>REPUBBLICA ITALIANA</w:t>
      </w:r>
    </w:p>
    <w:p w14:paraId="64FFAD46" w14:textId="77777777" w:rsidR="00586252" w:rsidRPr="003A1EDA" w:rsidRDefault="00586252" w:rsidP="00586252">
      <w:pPr>
        <w:rPr>
          <w:rFonts w:ascii="Arial" w:hAnsi="Arial" w:cs="Arial"/>
        </w:rPr>
      </w:pPr>
    </w:p>
    <w:p w14:paraId="3FA746AC" w14:textId="77777777" w:rsidR="00586252" w:rsidRPr="003A1EDA" w:rsidRDefault="00586252" w:rsidP="00586252">
      <w:pPr>
        <w:rPr>
          <w:rFonts w:ascii="Arial" w:hAnsi="Arial" w:cs="Arial"/>
        </w:rPr>
      </w:pPr>
    </w:p>
    <w:p w14:paraId="0F4F1213" w14:textId="77777777" w:rsidR="00586252" w:rsidRPr="003A1EDA" w:rsidRDefault="00586252" w:rsidP="00586252">
      <w:pPr>
        <w:rPr>
          <w:rFonts w:ascii="Arial" w:hAnsi="Arial" w:cs="Arial"/>
        </w:rPr>
      </w:pPr>
      <w:r w:rsidRPr="003A1EDA">
        <w:rPr>
          <w:rFonts w:ascii="Arial" w:hAnsi="Arial" w:cs="Arial"/>
        </w:rPr>
        <w:t>LA CORTE SUPREMA DI CASSAZIONE</w:t>
      </w:r>
    </w:p>
    <w:p w14:paraId="6775115B" w14:textId="77777777" w:rsidR="00586252" w:rsidRPr="003A1EDA" w:rsidRDefault="00586252" w:rsidP="00586252">
      <w:pPr>
        <w:rPr>
          <w:rFonts w:ascii="Arial" w:hAnsi="Arial" w:cs="Arial"/>
        </w:rPr>
      </w:pPr>
    </w:p>
    <w:p w14:paraId="1127C194" w14:textId="77777777" w:rsidR="00586252" w:rsidRPr="003A1EDA" w:rsidRDefault="00586252" w:rsidP="00586252">
      <w:pPr>
        <w:rPr>
          <w:rFonts w:ascii="Arial" w:hAnsi="Arial" w:cs="Arial"/>
        </w:rPr>
      </w:pPr>
    </w:p>
    <w:p w14:paraId="3D3A055C" w14:textId="77777777" w:rsidR="00586252" w:rsidRPr="003A1EDA" w:rsidRDefault="00586252" w:rsidP="00586252">
      <w:pPr>
        <w:rPr>
          <w:rFonts w:ascii="Arial" w:hAnsi="Arial" w:cs="Arial"/>
        </w:rPr>
      </w:pPr>
      <w:r w:rsidRPr="003A1EDA">
        <w:rPr>
          <w:rFonts w:ascii="Arial" w:hAnsi="Arial" w:cs="Arial"/>
        </w:rPr>
        <w:t>SEZIONE LAVORO CIVILE</w:t>
      </w:r>
    </w:p>
    <w:p w14:paraId="75EC75E8" w14:textId="77777777" w:rsidR="00586252" w:rsidRPr="003A1EDA" w:rsidRDefault="00586252" w:rsidP="00586252">
      <w:pPr>
        <w:rPr>
          <w:rFonts w:ascii="Arial" w:hAnsi="Arial" w:cs="Arial"/>
        </w:rPr>
      </w:pPr>
    </w:p>
    <w:p w14:paraId="0B743D2C" w14:textId="77777777" w:rsidR="00586252" w:rsidRPr="003A1EDA" w:rsidRDefault="00586252" w:rsidP="00586252">
      <w:pPr>
        <w:rPr>
          <w:rFonts w:ascii="Arial" w:hAnsi="Arial" w:cs="Arial"/>
        </w:rPr>
      </w:pPr>
    </w:p>
    <w:p w14:paraId="055B6614" w14:textId="77777777" w:rsidR="00586252" w:rsidRPr="003A1EDA" w:rsidRDefault="00586252" w:rsidP="00586252">
      <w:pPr>
        <w:rPr>
          <w:rFonts w:ascii="Arial" w:hAnsi="Arial" w:cs="Arial"/>
        </w:rPr>
      </w:pPr>
      <w:r w:rsidRPr="003A1EDA">
        <w:rPr>
          <w:rFonts w:ascii="Arial" w:hAnsi="Arial" w:cs="Arial"/>
        </w:rPr>
        <w:t xml:space="preserve">Composta dagli Ill.mi </w:t>
      </w:r>
      <w:proofErr w:type="spellStart"/>
      <w:r w:rsidRPr="003A1EDA">
        <w:rPr>
          <w:rFonts w:ascii="Arial" w:hAnsi="Arial" w:cs="Arial"/>
        </w:rPr>
        <w:t>Sigg.ri</w:t>
      </w:r>
      <w:proofErr w:type="spellEnd"/>
      <w:r w:rsidRPr="003A1EDA">
        <w:rPr>
          <w:rFonts w:ascii="Arial" w:hAnsi="Arial" w:cs="Arial"/>
        </w:rPr>
        <w:t xml:space="preserve"> Magistrati:</w:t>
      </w:r>
    </w:p>
    <w:p w14:paraId="1E67BD5F" w14:textId="77777777" w:rsidR="00586252" w:rsidRPr="003A1EDA" w:rsidRDefault="00586252" w:rsidP="00586252">
      <w:pPr>
        <w:rPr>
          <w:rFonts w:ascii="Arial" w:hAnsi="Arial" w:cs="Arial"/>
        </w:rPr>
      </w:pPr>
    </w:p>
    <w:p w14:paraId="0CD8B085" w14:textId="77777777" w:rsidR="00586252" w:rsidRPr="003A1EDA" w:rsidRDefault="00586252" w:rsidP="00586252">
      <w:pPr>
        <w:rPr>
          <w:rFonts w:ascii="Arial" w:hAnsi="Arial" w:cs="Arial"/>
        </w:rPr>
      </w:pPr>
    </w:p>
    <w:p w14:paraId="6FF88AF9" w14:textId="77777777" w:rsidR="00586252" w:rsidRPr="003A1EDA" w:rsidRDefault="00586252" w:rsidP="00586252">
      <w:pPr>
        <w:rPr>
          <w:rFonts w:ascii="Arial" w:hAnsi="Arial" w:cs="Arial"/>
        </w:rPr>
      </w:pPr>
      <w:r w:rsidRPr="003A1EDA">
        <w:rPr>
          <w:rFonts w:ascii="Arial" w:hAnsi="Arial" w:cs="Arial"/>
        </w:rPr>
        <w:t>Dott. LEONE Margherita Maria - Presidente</w:t>
      </w:r>
    </w:p>
    <w:p w14:paraId="2CF85630" w14:textId="77777777" w:rsidR="00586252" w:rsidRPr="003A1EDA" w:rsidRDefault="00586252" w:rsidP="00586252">
      <w:pPr>
        <w:rPr>
          <w:rFonts w:ascii="Arial" w:hAnsi="Arial" w:cs="Arial"/>
        </w:rPr>
      </w:pPr>
    </w:p>
    <w:p w14:paraId="4E0F4049" w14:textId="77777777" w:rsidR="00586252" w:rsidRPr="003A1EDA" w:rsidRDefault="00586252" w:rsidP="00586252">
      <w:pPr>
        <w:rPr>
          <w:rFonts w:ascii="Arial" w:hAnsi="Arial" w:cs="Arial"/>
        </w:rPr>
      </w:pPr>
    </w:p>
    <w:p w14:paraId="3A2209FC" w14:textId="77777777" w:rsidR="00586252" w:rsidRPr="003A1EDA" w:rsidRDefault="00586252" w:rsidP="00586252">
      <w:pPr>
        <w:rPr>
          <w:rFonts w:ascii="Arial" w:hAnsi="Arial" w:cs="Arial"/>
        </w:rPr>
      </w:pPr>
      <w:r w:rsidRPr="003A1EDA">
        <w:rPr>
          <w:rFonts w:ascii="Arial" w:hAnsi="Arial" w:cs="Arial"/>
        </w:rPr>
        <w:t>Dott. CALAFIORE Daniela - Consigliere</w:t>
      </w:r>
    </w:p>
    <w:p w14:paraId="46E5DDBE" w14:textId="77777777" w:rsidR="00586252" w:rsidRPr="003A1EDA" w:rsidRDefault="00586252" w:rsidP="00586252">
      <w:pPr>
        <w:rPr>
          <w:rFonts w:ascii="Arial" w:hAnsi="Arial" w:cs="Arial"/>
        </w:rPr>
      </w:pPr>
    </w:p>
    <w:p w14:paraId="7B7889A7" w14:textId="77777777" w:rsidR="00586252" w:rsidRPr="003A1EDA" w:rsidRDefault="00586252" w:rsidP="00586252">
      <w:pPr>
        <w:rPr>
          <w:rFonts w:ascii="Arial" w:hAnsi="Arial" w:cs="Arial"/>
        </w:rPr>
      </w:pPr>
    </w:p>
    <w:p w14:paraId="5A45BE62" w14:textId="77777777" w:rsidR="00586252" w:rsidRPr="003A1EDA" w:rsidRDefault="00586252" w:rsidP="00586252">
      <w:pPr>
        <w:rPr>
          <w:rFonts w:ascii="Arial" w:hAnsi="Arial" w:cs="Arial"/>
        </w:rPr>
      </w:pPr>
      <w:r w:rsidRPr="003A1EDA">
        <w:rPr>
          <w:rFonts w:ascii="Arial" w:hAnsi="Arial" w:cs="Arial"/>
        </w:rPr>
        <w:t>Dott. AMENDOLA Fabrizio - Consigliere</w:t>
      </w:r>
    </w:p>
    <w:p w14:paraId="40A5930A" w14:textId="77777777" w:rsidR="00586252" w:rsidRPr="003A1EDA" w:rsidRDefault="00586252" w:rsidP="00586252">
      <w:pPr>
        <w:rPr>
          <w:rFonts w:ascii="Arial" w:hAnsi="Arial" w:cs="Arial"/>
        </w:rPr>
      </w:pPr>
    </w:p>
    <w:p w14:paraId="2B06AD84" w14:textId="77777777" w:rsidR="00586252" w:rsidRPr="003A1EDA" w:rsidRDefault="00586252" w:rsidP="00586252">
      <w:pPr>
        <w:rPr>
          <w:rFonts w:ascii="Arial" w:hAnsi="Arial" w:cs="Arial"/>
        </w:rPr>
      </w:pPr>
    </w:p>
    <w:p w14:paraId="3A3B7459" w14:textId="77777777" w:rsidR="00586252" w:rsidRPr="003A1EDA" w:rsidRDefault="00586252" w:rsidP="00586252">
      <w:pPr>
        <w:rPr>
          <w:rFonts w:ascii="Arial" w:hAnsi="Arial" w:cs="Arial"/>
        </w:rPr>
      </w:pPr>
      <w:r w:rsidRPr="003A1EDA">
        <w:rPr>
          <w:rFonts w:ascii="Arial" w:hAnsi="Arial" w:cs="Arial"/>
        </w:rPr>
        <w:t>Dott. BOGHETICH Elena - Rel. Consigliere</w:t>
      </w:r>
    </w:p>
    <w:p w14:paraId="15EB5A8B" w14:textId="77777777" w:rsidR="00586252" w:rsidRPr="003A1EDA" w:rsidRDefault="00586252" w:rsidP="00586252">
      <w:pPr>
        <w:rPr>
          <w:rFonts w:ascii="Arial" w:hAnsi="Arial" w:cs="Arial"/>
        </w:rPr>
      </w:pPr>
    </w:p>
    <w:p w14:paraId="00FD42AB" w14:textId="77777777" w:rsidR="00586252" w:rsidRPr="003A1EDA" w:rsidRDefault="00586252" w:rsidP="00586252">
      <w:pPr>
        <w:rPr>
          <w:rFonts w:ascii="Arial" w:hAnsi="Arial" w:cs="Arial"/>
        </w:rPr>
      </w:pPr>
    </w:p>
    <w:p w14:paraId="0EF34821" w14:textId="77777777" w:rsidR="00586252" w:rsidRPr="003A1EDA" w:rsidRDefault="00586252" w:rsidP="00586252">
      <w:pPr>
        <w:rPr>
          <w:rFonts w:ascii="Arial" w:hAnsi="Arial" w:cs="Arial"/>
        </w:rPr>
      </w:pPr>
      <w:r w:rsidRPr="003A1EDA">
        <w:rPr>
          <w:rFonts w:ascii="Arial" w:hAnsi="Arial" w:cs="Arial"/>
        </w:rPr>
        <w:t>Dott. PICCONE Valeria - Consigliere</w:t>
      </w:r>
    </w:p>
    <w:p w14:paraId="2622E1B3" w14:textId="77777777" w:rsidR="00586252" w:rsidRPr="003A1EDA" w:rsidRDefault="00586252" w:rsidP="00586252">
      <w:pPr>
        <w:rPr>
          <w:rFonts w:ascii="Arial" w:hAnsi="Arial" w:cs="Arial"/>
        </w:rPr>
      </w:pPr>
    </w:p>
    <w:p w14:paraId="2339487D" w14:textId="77777777" w:rsidR="00586252" w:rsidRPr="003A1EDA" w:rsidRDefault="00586252" w:rsidP="00586252">
      <w:pPr>
        <w:rPr>
          <w:rFonts w:ascii="Arial" w:hAnsi="Arial" w:cs="Arial"/>
        </w:rPr>
      </w:pPr>
    </w:p>
    <w:p w14:paraId="679EA4EF" w14:textId="77777777" w:rsidR="00586252" w:rsidRPr="003A1EDA" w:rsidRDefault="00586252" w:rsidP="00586252">
      <w:pPr>
        <w:rPr>
          <w:rFonts w:ascii="Arial" w:hAnsi="Arial" w:cs="Arial"/>
        </w:rPr>
      </w:pPr>
      <w:r w:rsidRPr="003A1EDA">
        <w:rPr>
          <w:rFonts w:ascii="Arial" w:hAnsi="Arial" w:cs="Arial"/>
        </w:rPr>
        <w:t>ha pronunciato la seguente</w:t>
      </w:r>
    </w:p>
    <w:p w14:paraId="4C2A4BE3" w14:textId="77777777" w:rsidR="00586252" w:rsidRPr="003A1EDA" w:rsidRDefault="00586252" w:rsidP="00586252">
      <w:pPr>
        <w:rPr>
          <w:rFonts w:ascii="Arial" w:hAnsi="Arial" w:cs="Arial"/>
        </w:rPr>
      </w:pPr>
    </w:p>
    <w:p w14:paraId="0DAE2A92" w14:textId="77777777" w:rsidR="00586252" w:rsidRPr="003A1EDA" w:rsidRDefault="00586252" w:rsidP="00586252">
      <w:pPr>
        <w:rPr>
          <w:rFonts w:ascii="Arial" w:hAnsi="Arial" w:cs="Arial"/>
        </w:rPr>
      </w:pPr>
      <w:r w:rsidRPr="003A1EDA">
        <w:rPr>
          <w:rFonts w:ascii="Arial" w:hAnsi="Arial" w:cs="Arial"/>
        </w:rPr>
        <w:t>ORDINANZA</w:t>
      </w:r>
    </w:p>
    <w:p w14:paraId="6DA3D41D" w14:textId="77777777" w:rsidR="00586252" w:rsidRPr="003A1EDA" w:rsidRDefault="00586252" w:rsidP="00586252">
      <w:pPr>
        <w:rPr>
          <w:rFonts w:ascii="Arial" w:hAnsi="Arial" w:cs="Arial"/>
        </w:rPr>
      </w:pPr>
    </w:p>
    <w:p w14:paraId="410D5BC3" w14:textId="77777777" w:rsidR="00586252" w:rsidRPr="003A1EDA" w:rsidRDefault="00586252" w:rsidP="00586252">
      <w:pPr>
        <w:rPr>
          <w:rFonts w:ascii="Arial" w:hAnsi="Arial" w:cs="Arial"/>
        </w:rPr>
      </w:pPr>
      <w:r w:rsidRPr="003A1EDA">
        <w:rPr>
          <w:rFonts w:ascii="Arial" w:hAnsi="Arial" w:cs="Arial"/>
        </w:rPr>
        <w:t>sul ricorso 19415-2023 proposto da:</w:t>
      </w:r>
    </w:p>
    <w:p w14:paraId="3886322A" w14:textId="77777777" w:rsidR="00586252" w:rsidRPr="003A1EDA" w:rsidRDefault="00586252" w:rsidP="00586252">
      <w:pPr>
        <w:rPr>
          <w:rFonts w:ascii="Arial" w:hAnsi="Arial" w:cs="Arial"/>
        </w:rPr>
      </w:pPr>
    </w:p>
    <w:p w14:paraId="0F3F456F" w14:textId="77777777" w:rsidR="00586252" w:rsidRPr="003A1EDA" w:rsidRDefault="00586252" w:rsidP="00586252">
      <w:pPr>
        <w:rPr>
          <w:rFonts w:ascii="Arial" w:hAnsi="Arial" w:cs="Arial"/>
        </w:rPr>
      </w:pPr>
      <w:proofErr w:type="spellStart"/>
      <w:r w:rsidRPr="003A1EDA">
        <w:rPr>
          <w:rFonts w:ascii="Arial" w:hAnsi="Arial" w:cs="Arial"/>
        </w:rPr>
        <w:t>De.Fa</w:t>
      </w:r>
      <w:proofErr w:type="spellEnd"/>
      <w:r w:rsidRPr="003A1EDA">
        <w:rPr>
          <w:rFonts w:ascii="Arial" w:hAnsi="Arial" w:cs="Arial"/>
        </w:rPr>
        <w:t>., rappresentato e difeso dagli avvocati ST.CA., RI.MO.;</w:t>
      </w:r>
    </w:p>
    <w:p w14:paraId="09577471" w14:textId="77777777" w:rsidR="00586252" w:rsidRPr="003A1EDA" w:rsidRDefault="00586252" w:rsidP="00586252">
      <w:pPr>
        <w:rPr>
          <w:rFonts w:ascii="Arial" w:hAnsi="Arial" w:cs="Arial"/>
        </w:rPr>
      </w:pPr>
    </w:p>
    <w:p w14:paraId="7B1AC09B" w14:textId="77777777" w:rsidR="00586252" w:rsidRPr="003A1EDA" w:rsidRDefault="00586252" w:rsidP="00586252">
      <w:pPr>
        <w:rPr>
          <w:rFonts w:ascii="Arial" w:hAnsi="Arial" w:cs="Arial"/>
        </w:rPr>
      </w:pPr>
      <w:r w:rsidRPr="003A1EDA">
        <w:rPr>
          <w:rFonts w:ascii="Arial" w:hAnsi="Arial" w:cs="Arial"/>
        </w:rPr>
        <w:t>- ricorrente -</w:t>
      </w:r>
    </w:p>
    <w:p w14:paraId="4C5BE4EE" w14:textId="77777777" w:rsidR="00586252" w:rsidRPr="003A1EDA" w:rsidRDefault="00586252" w:rsidP="00586252">
      <w:pPr>
        <w:rPr>
          <w:rFonts w:ascii="Arial" w:hAnsi="Arial" w:cs="Arial"/>
        </w:rPr>
      </w:pPr>
    </w:p>
    <w:p w14:paraId="7C6A6A94" w14:textId="77777777" w:rsidR="00586252" w:rsidRPr="003A1EDA" w:rsidRDefault="00586252" w:rsidP="00586252">
      <w:pPr>
        <w:rPr>
          <w:rFonts w:ascii="Arial" w:hAnsi="Arial" w:cs="Arial"/>
        </w:rPr>
      </w:pPr>
      <w:r w:rsidRPr="003A1EDA">
        <w:rPr>
          <w:rFonts w:ascii="Arial" w:hAnsi="Arial" w:cs="Arial"/>
        </w:rPr>
        <w:t>contro</w:t>
      </w:r>
    </w:p>
    <w:p w14:paraId="1987B417" w14:textId="77777777" w:rsidR="00586252" w:rsidRPr="003A1EDA" w:rsidRDefault="00586252" w:rsidP="00586252">
      <w:pPr>
        <w:rPr>
          <w:rFonts w:ascii="Arial" w:hAnsi="Arial" w:cs="Arial"/>
        </w:rPr>
      </w:pPr>
    </w:p>
    <w:p w14:paraId="0614A7CE" w14:textId="77777777" w:rsidR="00586252" w:rsidRPr="003A1EDA" w:rsidRDefault="00586252" w:rsidP="00586252">
      <w:pPr>
        <w:rPr>
          <w:rFonts w:ascii="Arial" w:hAnsi="Arial" w:cs="Arial"/>
        </w:rPr>
      </w:pPr>
      <w:proofErr w:type="spellStart"/>
      <w:r w:rsidRPr="003A1EDA">
        <w:rPr>
          <w:rFonts w:ascii="Arial" w:hAnsi="Arial" w:cs="Arial"/>
        </w:rPr>
        <w:t>Sc.An</w:t>
      </w:r>
      <w:proofErr w:type="spellEnd"/>
      <w:r w:rsidRPr="003A1EDA">
        <w:rPr>
          <w:rFonts w:ascii="Arial" w:hAnsi="Arial" w:cs="Arial"/>
        </w:rPr>
        <w:t>., rappresentato e difeso dall'avvocato MA.VI.;</w:t>
      </w:r>
    </w:p>
    <w:p w14:paraId="61764E52" w14:textId="77777777" w:rsidR="00586252" w:rsidRPr="003A1EDA" w:rsidRDefault="00586252" w:rsidP="00586252">
      <w:pPr>
        <w:rPr>
          <w:rFonts w:ascii="Arial" w:hAnsi="Arial" w:cs="Arial"/>
        </w:rPr>
      </w:pPr>
    </w:p>
    <w:p w14:paraId="12A77A61" w14:textId="77777777" w:rsidR="00586252" w:rsidRPr="003A1EDA" w:rsidRDefault="00586252" w:rsidP="00586252">
      <w:pPr>
        <w:rPr>
          <w:rFonts w:ascii="Arial" w:hAnsi="Arial" w:cs="Arial"/>
        </w:rPr>
      </w:pPr>
      <w:r w:rsidRPr="003A1EDA">
        <w:rPr>
          <w:rFonts w:ascii="Arial" w:hAnsi="Arial" w:cs="Arial"/>
        </w:rPr>
        <w:t>- controricorrente -</w:t>
      </w:r>
    </w:p>
    <w:p w14:paraId="3E0EA5DE" w14:textId="77777777" w:rsidR="00586252" w:rsidRPr="003A1EDA" w:rsidRDefault="00586252" w:rsidP="00586252">
      <w:pPr>
        <w:rPr>
          <w:rFonts w:ascii="Arial" w:hAnsi="Arial" w:cs="Arial"/>
        </w:rPr>
      </w:pPr>
    </w:p>
    <w:p w14:paraId="52FE0C31" w14:textId="77777777" w:rsidR="00586252" w:rsidRPr="003A1EDA" w:rsidRDefault="00586252" w:rsidP="00586252">
      <w:pPr>
        <w:rPr>
          <w:rFonts w:ascii="Arial" w:hAnsi="Arial" w:cs="Arial"/>
        </w:rPr>
      </w:pPr>
      <w:r w:rsidRPr="003A1EDA">
        <w:rPr>
          <w:rFonts w:ascii="Arial" w:hAnsi="Arial" w:cs="Arial"/>
        </w:rPr>
        <w:t>avverso la sentenza n. 1492/2023 della CORTE D'APPELLO di ROMA, depositata il 14/04/2023 R.G.N. 2824/2018;</w:t>
      </w:r>
    </w:p>
    <w:p w14:paraId="772685C5" w14:textId="77777777" w:rsidR="00586252" w:rsidRPr="003A1EDA" w:rsidRDefault="00586252" w:rsidP="00586252">
      <w:pPr>
        <w:rPr>
          <w:rFonts w:ascii="Arial" w:hAnsi="Arial" w:cs="Arial"/>
        </w:rPr>
      </w:pPr>
    </w:p>
    <w:p w14:paraId="1BE6CBD5" w14:textId="77777777" w:rsidR="00586252" w:rsidRPr="003A1EDA" w:rsidRDefault="00586252" w:rsidP="00586252">
      <w:pPr>
        <w:rPr>
          <w:rFonts w:ascii="Arial" w:hAnsi="Arial" w:cs="Arial"/>
        </w:rPr>
      </w:pPr>
      <w:r w:rsidRPr="003A1EDA">
        <w:rPr>
          <w:rFonts w:ascii="Arial" w:hAnsi="Arial" w:cs="Arial"/>
        </w:rPr>
        <w:t>udita la relazione della causa svolta nella camera di consiglio del 27/05/2026 dal Consigliere Dott. ELENA BOGHETICH.</w:t>
      </w:r>
    </w:p>
    <w:p w14:paraId="00266833" w14:textId="77777777" w:rsidR="00586252" w:rsidRPr="003A1EDA" w:rsidRDefault="00586252" w:rsidP="00586252">
      <w:pPr>
        <w:rPr>
          <w:rFonts w:ascii="Arial" w:hAnsi="Arial" w:cs="Arial"/>
        </w:rPr>
      </w:pPr>
    </w:p>
    <w:p w14:paraId="5C781A62" w14:textId="77777777" w:rsidR="00586252" w:rsidRPr="003A1EDA" w:rsidRDefault="00586252" w:rsidP="00586252">
      <w:pPr>
        <w:rPr>
          <w:rFonts w:ascii="Arial" w:hAnsi="Arial" w:cs="Arial"/>
        </w:rPr>
      </w:pPr>
      <w:r w:rsidRPr="003A1EDA">
        <w:rPr>
          <w:rFonts w:ascii="Arial" w:hAnsi="Arial" w:cs="Arial"/>
        </w:rPr>
        <w:t>FATTI DI CAUSA</w:t>
      </w:r>
    </w:p>
    <w:p w14:paraId="069901BD" w14:textId="77777777" w:rsidR="00586252" w:rsidRPr="003A1EDA" w:rsidRDefault="00586252" w:rsidP="00586252">
      <w:pPr>
        <w:rPr>
          <w:rFonts w:ascii="Arial" w:hAnsi="Arial" w:cs="Arial"/>
        </w:rPr>
      </w:pPr>
    </w:p>
    <w:p w14:paraId="36E4733F" w14:textId="72788DF7" w:rsidR="00586252" w:rsidRPr="003A1EDA" w:rsidRDefault="00586252" w:rsidP="00586252">
      <w:pPr>
        <w:rPr>
          <w:rFonts w:ascii="Arial" w:hAnsi="Arial" w:cs="Arial"/>
          <w:b/>
          <w:bCs/>
        </w:rPr>
      </w:pPr>
      <w:r w:rsidRPr="003A1EDA">
        <w:rPr>
          <w:rFonts w:ascii="Arial" w:hAnsi="Arial" w:cs="Arial"/>
        </w:rPr>
        <w:t>1. La Corte di appello di Roma, in riforma della pronuncia emessa dal giudice di prime cure, ha respinto la domanda di accertamento della sussistenza di un rapporto di lavoro subordinato proposta da</w:t>
      </w:r>
      <w:proofErr w:type="gramStart"/>
      <w:r w:rsidRPr="003A1EDA">
        <w:rPr>
          <w:rFonts w:ascii="Arial" w:hAnsi="Arial" w:cs="Arial"/>
        </w:rPr>
        <w:t xml:space="preserve"> </w:t>
      </w:r>
      <w:r w:rsidR="00BF039C" w:rsidRPr="003A1EDA">
        <w:rPr>
          <w:rFonts w:ascii="Arial" w:hAnsi="Arial" w:cs="Arial"/>
        </w:rPr>
        <w:t>….</w:t>
      </w:r>
      <w:proofErr w:type="gramEnd"/>
      <w:r w:rsidR="00BF039C" w:rsidRPr="003A1EDA">
        <w:rPr>
          <w:rFonts w:ascii="Arial" w:hAnsi="Arial" w:cs="Arial"/>
        </w:rPr>
        <w:t>.</w:t>
      </w:r>
      <w:r w:rsidRPr="003A1EDA">
        <w:rPr>
          <w:rFonts w:ascii="Arial" w:hAnsi="Arial" w:cs="Arial"/>
        </w:rPr>
        <w:t xml:space="preserve"> nei confronti di</w:t>
      </w:r>
      <w:proofErr w:type="gramStart"/>
      <w:r w:rsidRPr="003A1EDA">
        <w:rPr>
          <w:rFonts w:ascii="Arial" w:hAnsi="Arial" w:cs="Arial"/>
        </w:rPr>
        <w:t xml:space="preserve"> </w:t>
      </w:r>
      <w:r w:rsidR="00BF039C" w:rsidRPr="003A1EDA">
        <w:rPr>
          <w:rFonts w:ascii="Arial" w:hAnsi="Arial" w:cs="Arial"/>
        </w:rPr>
        <w:t>….</w:t>
      </w:r>
      <w:proofErr w:type="gramEnd"/>
      <w:r w:rsidRPr="003A1EDA">
        <w:rPr>
          <w:rFonts w:ascii="Arial" w:hAnsi="Arial" w:cs="Arial"/>
        </w:rPr>
        <w:t xml:space="preserve">, titolare di studio dentistico, per il periodo ottobre 2013 - ottobre 2015 rilevando che il quadro probatorio acquisito (di fonte testimoniale e documentale) non era sufficiente a dimostrare </w:t>
      </w:r>
      <w:r w:rsidRPr="003A1EDA">
        <w:rPr>
          <w:rFonts w:ascii="Arial" w:hAnsi="Arial" w:cs="Arial"/>
          <w:b/>
          <w:bCs/>
        </w:rPr>
        <w:t>la sottoposizione del lavoratore, odontoiatra, al potere di controllo, organizzativo, direttivo e disciplinare del supposto datore di lavoro.</w:t>
      </w:r>
    </w:p>
    <w:p w14:paraId="75260B94" w14:textId="77777777" w:rsidR="00586252" w:rsidRPr="003A1EDA" w:rsidRDefault="00586252" w:rsidP="00586252">
      <w:pPr>
        <w:rPr>
          <w:rFonts w:ascii="Arial" w:hAnsi="Arial" w:cs="Arial"/>
        </w:rPr>
      </w:pPr>
    </w:p>
    <w:p w14:paraId="4F9728D9" w14:textId="77777777" w:rsidR="00586252" w:rsidRPr="003A1EDA" w:rsidRDefault="00586252" w:rsidP="00586252">
      <w:pPr>
        <w:rPr>
          <w:rFonts w:ascii="Arial" w:hAnsi="Arial" w:cs="Arial"/>
        </w:rPr>
      </w:pPr>
      <w:r w:rsidRPr="003A1EDA">
        <w:rPr>
          <w:rFonts w:ascii="Arial" w:hAnsi="Arial" w:cs="Arial"/>
        </w:rPr>
        <w:t xml:space="preserve">2. La Corte distrettuale, richiamando l'orientamento di legittimità elaborato in tema di qualificazione del lavoro subordinato e di relativi indici sintomatici, ha rilevato che il controllo sulle modalità di espletamento della prestazione professionale era del tutto compatibile con la sussistenza di un rapporto di lavoro autonomo (e con i doverosi consigli da impartire al giovane collega, iscritto all'Albo da pochi mesi), che non era stato provato alcun obbligo di rispettare orari e giornate prefissate, che non erano state precisate le modalità temporali di pagamento del compenso (e la circostanza che i pazienti pagassero le prestazioni odontoiatriche direttamente allo </w:t>
      </w:r>
      <w:proofErr w:type="spellStart"/>
      <w:r w:rsidRPr="003A1EDA">
        <w:rPr>
          <w:rFonts w:ascii="Arial" w:hAnsi="Arial" w:cs="Arial"/>
        </w:rPr>
        <w:t>Sc.An</w:t>
      </w:r>
      <w:proofErr w:type="spellEnd"/>
      <w:r w:rsidRPr="003A1EDA">
        <w:rPr>
          <w:rFonts w:ascii="Arial" w:hAnsi="Arial" w:cs="Arial"/>
        </w:rPr>
        <w:t>., titolare "giuridicamente e fiscalmente" dello studio, doveva ritenersi circostanza neutra).</w:t>
      </w:r>
    </w:p>
    <w:p w14:paraId="7506DEE0" w14:textId="77777777" w:rsidR="00586252" w:rsidRPr="003A1EDA" w:rsidRDefault="00586252" w:rsidP="00586252">
      <w:pPr>
        <w:rPr>
          <w:rFonts w:ascii="Arial" w:hAnsi="Arial" w:cs="Arial"/>
        </w:rPr>
      </w:pPr>
    </w:p>
    <w:p w14:paraId="23A1339C" w14:textId="77777777" w:rsidR="00586252" w:rsidRPr="003A1EDA" w:rsidRDefault="00586252" w:rsidP="00586252">
      <w:pPr>
        <w:rPr>
          <w:rFonts w:ascii="Arial" w:hAnsi="Arial" w:cs="Arial"/>
        </w:rPr>
      </w:pPr>
      <w:r w:rsidRPr="003A1EDA">
        <w:rPr>
          <w:rFonts w:ascii="Arial" w:hAnsi="Arial" w:cs="Arial"/>
        </w:rPr>
        <w:t>3. Per la cassazione di tale sentenza il lavoratore ha proposto ricorso affidato a due motivi; il titolare dello studio resiste con controricorso.</w:t>
      </w:r>
    </w:p>
    <w:p w14:paraId="7A45A170" w14:textId="77777777" w:rsidR="00586252" w:rsidRPr="003A1EDA" w:rsidRDefault="00586252" w:rsidP="00586252">
      <w:pPr>
        <w:rPr>
          <w:rFonts w:ascii="Arial" w:hAnsi="Arial" w:cs="Arial"/>
        </w:rPr>
      </w:pPr>
    </w:p>
    <w:p w14:paraId="5C4F479D" w14:textId="77777777" w:rsidR="00586252" w:rsidRPr="003A1EDA" w:rsidRDefault="00586252" w:rsidP="00586252">
      <w:pPr>
        <w:rPr>
          <w:rFonts w:ascii="Arial" w:hAnsi="Arial" w:cs="Arial"/>
        </w:rPr>
      </w:pPr>
      <w:r w:rsidRPr="003A1EDA">
        <w:rPr>
          <w:rFonts w:ascii="Arial" w:hAnsi="Arial" w:cs="Arial"/>
        </w:rPr>
        <w:t>Entrambe le parti hanno depositato memoria.</w:t>
      </w:r>
    </w:p>
    <w:p w14:paraId="687B2AAC" w14:textId="77777777" w:rsidR="00586252" w:rsidRPr="003A1EDA" w:rsidRDefault="00586252" w:rsidP="00586252">
      <w:pPr>
        <w:rPr>
          <w:rFonts w:ascii="Arial" w:hAnsi="Arial" w:cs="Arial"/>
        </w:rPr>
      </w:pPr>
    </w:p>
    <w:p w14:paraId="5821041D" w14:textId="77777777" w:rsidR="00586252" w:rsidRPr="003A1EDA" w:rsidRDefault="00586252" w:rsidP="00586252">
      <w:pPr>
        <w:rPr>
          <w:rFonts w:ascii="Arial" w:hAnsi="Arial" w:cs="Arial"/>
        </w:rPr>
      </w:pPr>
      <w:r w:rsidRPr="003A1EDA">
        <w:rPr>
          <w:rFonts w:ascii="Arial" w:hAnsi="Arial" w:cs="Arial"/>
        </w:rPr>
        <w:t>4. Al termine della camera di consiglio, il Collegio si è riservato il deposito dell'ordinanza nei successivi sessanta giorni.</w:t>
      </w:r>
    </w:p>
    <w:p w14:paraId="05A7C181" w14:textId="77777777" w:rsidR="00586252" w:rsidRPr="003A1EDA" w:rsidRDefault="00586252" w:rsidP="00586252">
      <w:pPr>
        <w:rPr>
          <w:rFonts w:ascii="Arial" w:hAnsi="Arial" w:cs="Arial"/>
        </w:rPr>
      </w:pPr>
    </w:p>
    <w:p w14:paraId="0FB713BC" w14:textId="77777777" w:rsidR="00586252" w:rsidRPr="003A1EDA" w:rsidRDefault="00586252" w:rsidP="00586252">
      <w:pPr>
        <w:rPr>
          <w:rFonts w:ascii="Arial" w:hAnsi="Arial" w:cs="Arial"/>
        </w:rPr>
      </w:pPr>
      <w:r w:rsidRPr="003A1EDA">
        <w:rPr>
          <w:rFonts w:ascii="Arial" w:hAnsi="Arial" w:cs="Arial"/>
        </w:rPr>
        <w:t>RAGIONI DELLA DECISIONE</w:t>
      </w:r>
    </w:p>
    <w:p w14:paraId="7D7CCAAA" w14:textId="77777777" w:rsidR="00586252" w:rsidRPr="003A1EDA" w:rsidRDefault="00586252" w:rsidP="00586252">
      <w:pPr>
        <w:rPr>
          <w:rFonts w:ascii="Arial" w:hAnsi="Arial" w:cs="Arial"/>
        </w:rPr>
      </w:pPr>
    </w:p>
    <w:p w14:paraId="3777E4E1" w14:textId="77777777" w:rsidR="00586252" w:rsidRPr="003A1EDA" w:rsidRDefault="00586252" w:rsidP="00586252">
      <w:pPr>
        <w:rPr>
          <w:rFonts w:ascii="Arial" w:hAnsi="Arial" w:cs="Arial"/>
        </w:rPr>
      </w:pPr>
      <w:r w:rsidRPr="003A1EDA">
        <w:rPr>
          <w:rFonts w:ascii="Arial" w:hAnsi="Arial" w:cs="Arial"/>
        </w:rPr>
        <w:t>1. Con il primo motivo del ricorso si deduce, ai sensi dell'art. 360, primo comma, n. 3, c.p.c., violazione e falsa applicazione dell'art. 2094 c.c., per avere, la Corte territoriale, elencato nella motivazione 5 criteri principali di disamina dai quali si dovrebbe evincere la subordinazione, mentre la giurisprudenza è costante nel determinare che i criteri principali di discernimento della subordinazione sono solo i primi due e gli altri sono invece criteri sussidiari che vanno eventualmente esaminati solo una volta che la disamina dei primi due non consenta d'arrivare ad una soluzione; la Corte territoriale doveva, dunque, dapprima concentrarsi sui primi due criteri (criterio dell'inserimento del lavoratore nell'organizzazione predisposta dal datore di lavoro e criterio della sottoposizione alle direttive ed al controllo del datore di lavoro), criteri che (in base alle deposizioni testimoniali rese) avrebbero confermato la sussistenza di un vincolo di subordinazione tra le parti; solamente in via successiva, la Corte doveva verificare la sussistenza degli altri criteri, sussidiari (ossia esclusività della dipendenza da un solo datore di lavoro; modalità della retribuzione, generalmente periodica ed indipendente dal risultato, vincolo dell'orario di lavoro).</w:t>
      </w:r>
    </w:p>
    <w:p w14:paraId="0D944ECD" w14:textId="77777777" w:rsidR="00586252" w:rsidRPr="003A1EDA" w:rsidRDefault="00586252" w:rsidP="00586252">
      <w:pPr>
        <w:rPr>
          <w:rFonts w:ascii="Arial" w:hAnsi="Arial" w:cs="Arial"/>
        </w:rPr>
      </w:pPr>
    </w:p>
    <w:p w14:paraId="0D9FD7C2" w14:textId="77777777" w:rsidR="00586252" w:rsidRPr="003A1EDA" w:rsidRDefault="00586252" w:rsidP="00586252">
      <w:pPr>
        <w:rPr>
          <w:rFonts w:ascii="Arial" w:hAnsi="Arial" w:cs="Arial"/>
        </w:rPr>
      </w:pPr>
      <w:r w:rsidRPr="003A1EDA">
        <w:rPr>
          <w:rFonts w:ascii="Arial" w:hAnsi="Arial" w:cs="Arial"/>
        </w:rPr>
        <w:t xml:space="preserve">2. Con il secondo motivo si deduce, ai sensi dell'art. 360, primo comma, n. 3, c.p.c., violazione e/o falsa applicazione dell'art. 2094 cod. civ., per avere, la Corte territoriale, </w:t>
      </w:r>
      <w:r w:rsidRPr="003A1EDA">
        <w:rPr>
          <w:rFonts w:ascii="Arial" w:hAnsi="Arial" w:cs="Arial"/>
        </w:rPr>
        <w:lastRenderedPageBreak/>
        <w:t xml:space="preserve">trascurato che il vincolo della subordinazione si presenta in via attenuata nelle prestazioni intellettuali (e le deposizioni testimoniali hanno dimostrato, come riconosciuto dal Tribunale, la sottoposizione del </w:t>
      </w:r>
      <w:proofErr w:type="spellStart"/>
      <w:r w:rsidRPr="003A1EDA">
        <w:rPr>
          <w:rFonts w:ascii="Arial" w:hAnsi="Arial" w:cs="Arial"/>
        </w:rPr>
        <w:t>De.Fa</w:t>
      </w:r>
      <w:proofErr w:type="spellEnd"/>
      <w:r w:rsidRPr="003A1EDA">
        <w:rPr>
          <w:rFonts w:ascii="Arial" w:hAnsi="Arial" w:cs="Arial"/>
        </w:rPr>
        <w:t xml:space="preserve">. alle direttive e al controllo dello </w:t>
      </w:r>
      <w:proofErr w:type="spellStart"/>
      <w:r w:rsidRPr="003A1EDA">
        <w:rPr>
          <w:rFonts w:ascii="Arial" w:hAnsi="Arial" w:cs="Arial"/>
        </w:rPr>
        <w:t>Sc.An</w:t>
      </w:r>
      <w:proofErr w:type="spellEnd"/>
      <w:r w:rsidRPr="003A1EDA">
        <w:rPr>
          <w:rFonts w:ascii="Arial" w:hAnsi="Arial" w:cs="Arial"/>
        </w:rPr>
        <w:t>.).</w:t>
      </w:r>
    </w:p>
    <w:p w14:paraId="4824D351" w14:textId="77777777" w:rsidR="00586252" w:rsidRPr="003A1EDA" w:rsidRDefault="00586252" w:rsidP="00586252">
      <w:pPr>
        <w:rPr>
          <w:rFonts w:ascii="Arial" w:hAnsi="Arial" w:cs="Arial"/>
        </w:rPr>
      </w:pPr>
    </w:p>
    <w:p w14:paraId="47CB99DA" w14:textId="77777777" w:rsidR="00586252" w:rsidRPr="003A1EDA" w:rsidRDefault="00586252" w:rsidP="00586252">
      <w:pPr>
        <w:rPr>
          <w:rFonts w:ascii="Arial" w:hAnsi="Arial" w:cs="Arial"/>
        </w:rPr>
      </w:pPr>
      <w:r w:rsidRPr="003A1EDA">
        <w:rPr>
          <w:rFonts w:ascii="Arial" w:hAnsi="Arial" w:cs="Arial"/>
        </w:rPr>
        <w:t>3. I motivi, che per stretta connessione vanno esaminati congiuntamente, non sono fondati.</w:t>
      </w:r>
    </w:p>
    <w:p w14:paraId="68DA0859" w14:textId="77777777" w:rsidR="00586252" w:rsidRPr="003A1EDA" w:rsidRDefault="00586252" w:rsidP="00586252">
      <w:pPr>
        <w:rPr>
          <w:rFonts w:ascii="Arial" w:hAnsi="Arial" w:cs="Arial"/>
        </w:rPr>
      </w:pPr>
    </w:p>
    <w:p w14:paraId="0F7F3B77" w14:textId="77777777" w:rsidR="00586252" w:rsidRPr="003A1EDA" w:rsidRDefault="00586252" w:rsidP="00586252">
      <w:pPr>
        <w:rPr>
          <w:rFonts w:ascii="Arial" w:hAnsi="Arial" w:cs="Arial"/>
        </w:rPr>
      </w:pPr>
      <w:r w:rsidRPr="003A1EDA">
        <w:rPr>
          <w:rFonts w:ascii="Arial" w:hAnsi="Arial" w:cs="Arial"/>
        </w:rPr>
        <w:t>3.1. Va premesso che le Sezioni Unite di questa Corte (richiamate anche dal ricorrente all'ultimo motivo, sentenza n. 379/1999) hanno statuito che: "se è vero che, ai fini della qualificazione di un rapporto di lavoro come autonomo o subordinato, assume rilievo prioritario e decisivo l'indagine sulla sussistenza del requisito della subordinazione, inteso come vincolo di carattere personale che assoggetta il prestatore d'opera al potere direttivo del datore di lavoro, con conseguente limitazione della sua libertà, non è men vero che, rispetto al riconoscimento, in concreto, della sussistenza del requisito stesso, non sono privi, come, invece, dal ricorrente si pretende, di qualsivoglia rilievo sintomatico quegli elementi (della collaborazione, della continuità della prestazione, dell'osservanza di un orario determinato, del versamento, a cadenze fisse, di una retribuzione prestabilita, del coordinamento dell'attività lavorativa all'assetto organizzativo dato all'impresa dal datore di lavoro, dell'assenza, in capo al lavoratore di una, sia pur minima, struttura imprenditoriale) ai quali i giudici del merito hanno, nella specie, affidato la propria valutazione.</w:t>
      </w:r>
    </w:p>
    <w:p w14:paraId="1F1904BF" w14:textId="77777777" w:rsidR="00586252" w:rsidRPr="003A1EDA" w:rsidRDefault="00586252" w:rsidP="00586252">
      <w:pPr>
        <w:rPr>
          <w:rFonts w:ascii="Arial" w:hAnsi="Arial" w:cs="Arial"/>
        </w:rPr>
      </w:pPr>
    </w:p>
    <w:p w14:paraId="1DD7D5ED" w14:textId="77777777" w:rsidR="00586252" w:rsidRPr="003A1EDA" w:rsidRDefault="00586252" w:rsidP="00586252">
      <w:pPr>
        <w:rPr>
          <w:rFonts w:ascii="Arial" w:hAnsi="Arial" w:cs="Arial"/>
        </w:rPr>
      </w:pPr>
      <w:r w:rsidRPr="003A1EDA">
        <w:rPr>
          <w:rFonts w:ascii="Arial" w:hAnsi="Arial" w:cs="Arial"/>
        </w:rPr>
        <w:t>Ciò che deve negarsi è soltanto l'autonoma idoneità di ciascuno di questi elementi, considerato singolarmente, a fondare la riconduzione del rapporto in contestazione all'uno o all'altro tipo contrattuale (id est, a costituire il criterio, generale ed astratto, preordinato a siffatto risultato specifico), non anche la possibilità che, in una valutazione globale dei medesimi, funzionale alla suddetta indagine prioritaria e decisiva sulla sussistenza del requisito della subordinazione, essi vengano assunti, come concordanti, gravi e precisi indici rivelatori dell'effettiva di tale sussistenza.</w:t>
      </w:r>
    </w:p>
    <w:p w14:paraId="7C36A3F6" w14:textId="77777777" w:rsidR="00586252" w:rsidRPr="003A1EDA" w:rsidRDefault="00586252" w:rsidP="00586252">
      <w:pPr>
        <w:rPr>
          <w:rFonts w:ascii="Arial" w:hAnsi="Arial" w:cs="Arial"/>
        </w:rPr>
      </w:pPr>
    </w:p>
    <w:p w14:paraId="573CFD6A" w14:textId="77777777" w:rsidR="00586252" w:rsidRPr="003A1EDA" w:rsidRDefault="00586252" w:rsidP="00586252">
      <w:pPr>
        <w:rPr>
          <w:rFonts w:ascii="Arial" w:hAnsi="Arial" w:cs="Arial"/>
        </w:rPr>
      </w:pPr>
      <w:r w:rsidRPr="003A1EDA">
        <w:rPr>
          <w:rFonts w:ascii="Arial" w:hAnsi="Arial" w:cs="Arial"/>
        </w:rPr>
        <w:t xml:space="preserve">In quest'ordine di idee, è di ricorrente affermazione, nella giurisprudenza di questa Corte, il principio per cui, qualora l'elemento dell'assoggettamento del lavoratore alle direttive altrui non sia agevolmente apprezzabile a causa del concreto atteggiarsi del rapporto, occorre far riferimento ad altri criteri, complementari e sussidiari, del tipo sopra descritto, i quali, se individualmente considerati sono privi di valore decisivo, ben possono essere valutati globalmente come indizi probatori, da parte del giudice del merito (v. ex </w:t>
      </w:r>
      <w:proofErr w:type="spellStart"/>
      <w:r w:rsidRPr="003A1EDA">
        <w:rPr>
          <w:rFonts w:ascii="Arial" w:hAnsi="Arial" w:cs="Arial"/>
        </w:rPr>
        <w:t>plurimis</w:t>
      </w:r>
      <w:proofErr w:type="spellEnd"/>
      <w:r w:rsidRPr="003A1EDA">
        <w:rPr>
          <w:rFonts w:ascii="Arial" w:hAnsi="Arial" w:cs="Arial"/>
        </w:rPr>
        <w:t>, Cass. 23 luglio 1986, n. 4700; Id. 18 dicembre 1986, n. 7708; Id. 14 aprile 1987 n. 3716; Id. 11 maggio 1990, n. 4070; Id. 3 aprile 1990, n. 2680; Id., 26 ottobre 1994, n. 8804; Id., 9 giugno 1994, n. 5590; Id., 29 marzo 1995, n. 3745; Id., 18 dicembre 1996, n. 11329; Id. 4 marzo 1998, n. 2370)".</w:t>
      </w:r>
    </w:p>
    <w:p w14:paraId="59D2BED2" w14:textId="77777777" w:rsidR="00586252" w:rsidRPr="003A1EDA" w:rsidRDefault="00586252" w:rsidP="00586252">
      <w:pPr>
        <w:rPr>
          <w:rFonts w:ascii="Arial" w:hAnsi="Arial" w:cs="Arial"/>
        </w:rPr>
      </w:pPr>
    </w:p>
    <w:p w14:paraId="04EF6D09" w14:textId="77777777" w:rsidR="00586252" w:rsidRPr="003A1EDA" w:rsidRDefault="00586252" w:rsidP="00586252">
      <w:pPr>
        <w:rPr>
          <w:rFonts w:ascii="Arial" w:hAnsi="Arial" w:cs="Arial"/>
        </w:rPr>
      </w:pPr>
      <w:r w:rsidRPr="003A1EDA">
        <w:rPr>
          <w:rFonts w:ascii="Arial" w:hAnsi="Arial" w:cs="Arial"/>
        </w:rPr>
        <w:lastRenderedPageBreak/>
        <w:t xml:space="preserve">3.2. Nello stesso senso della rilevanza di una valutazione (non atomistica bensì) complessiva e globale degli indizi probatori della subordinazione, cfr., più di recente, Cass. 2341/2026 (con riguardo a medico ospedaliero), Cass. n.15602/2024 (con riguardo ad un medico di casa di cura, riguardo al quale i giudici di merito, con valutazione globale degli indici probatori, </w:t>
      </w:r>
      <w:r w:rsidRPr="003A1EDA">
        <w:rPr>
          <w:rFonts w:ascii="Arial" w:hAnsi="Arial" w:cs="Arial"/>
          <w:b/>
          <w:bCs/>
        </w:rPr>
        <w:t>hanno escluso il vincolo di subordinazione</w:t>
      </w:r>
      <w:r w:rsidRPr="003A1EDA">
        <w:rPr>
          <w:rFonts w:ascii="Arial" w:hAnsi="Arial" w:cs="Arial"/>
        </w:rPr>
        <w:t>), Cass. n. 10050/2023, Cass. n. 11424/2021, Cass. n. 9108/2012, Cass. S.U. n. 584/2008.</w:t>
      </w:r>
    </w:p>
    <w:p w14:paraId="7036B793" w14:textId="77777777" w:rsidR="00586252" w:rsidRPr="003A1EDA" w:rsidRDefault="00586252" w:rsidP="00586252">
      <w:pPr>
        <w:rPr>
          <w:rFonts w:ascii="Arial" w:hAnsi="Arial" w:cs="Arial"/>
        </w:rPr>
      </w:pPr>
    </w:p>
    <w:p w14:paraId="7E2D8347" w14:textId="77777777" w:rsidR="00586252" w:rsidRPr="003A1EDA" w:rsidRDefault="00586252" w:rsidP="00586252">
      <w:pPr>
        <w:rPr>
          <w:rFonts w:ascii="Arial" w:hAnsi="Arial" w:cs="Arial"/>
        </w:rPr>
      </w:pPr>
      <w:r w:rsidRPr="003A1EDA">
        <w:rPr>
          <w:rFonts w:ascii="Arial" w:hAnsi="Arial" w:cs="Arial"/>
        </w:rPr>
        <w:t>3.3. La Corte territoriale ha correttamente individuato ed analizzato i parametri normativi del lavoro subordinato ed autonomo e gli elementi indiziari, dotati di efficacia probatoria sussidiaria ai fini della qualificazione giuridica del rapporto di lavoro, e ha rilevato sia delle carenze con riferimento agli aspetti concernenti l'esercizio di un potere gerarchico, di controllo e disciplinare (mancanza di giustificazioni per assenze o ritardi o di sanzioni disciplinari; mero controllo sulla bontà della prestazione effettuata al paziente) sia con riguardo agli indici sintomatici della subordinazione nell'ambito (ritenuto, per giurisprudenza consolidata, più attenuato) delle prestazioni intellettuali.</w:t>
      </w:r>
    </w:p>
    <w:p w14:paraId="331224D1" w14:textId="77777777" w:rsidR="00586252" w:rsidRPr="003A1EDA" w:rsidRDefault="00586252" w:rsidP="00586252">
      <w:pPr>
        <w:rPr>
          <w:rFonts w:ascii="Arial" w:hAnsi="Arial" w:cs="Arial"/>
        </w:rPr>
      </w:pPr>
    </w:p>
    <w:p w14:paraId="5A1B40AA" w14:textId="77777777" w:rsidR="00586252" w:rsidRPr="003A1EDA" w:rsidRDefault="00586252" w:rsidP="00586252">
      <w:pPr>
        <w:rPr>
          <w:rFonts w:ascii="Arial" w:hAnsi="Arial" w:cs="Arial"/>
        </w:rPr>
      </w:pPr>
      <w:r w:rsidRPr="003A1EDA">
        <w:rPr>
          <w:rFonts w:ascii="Arial" w:hAnsi="Arial" w:cs="Arial"/>
        </w:rPr>
        <w:t>3.4. Per il resto, le censure pur se formulate come violazione di legge mirano, in realtà, alla rivalutazione dei fatti e del compendio probatorio operata dal giudice di merito non consentita in sede di legittimità.</w:t>
      </w:r>
    </w:p>
    <w:p w14:paraId="628C9252" w14:textId="77777777" w:rsidR="00586252" w:rsidRPr="003A1EDA" w:rsidRDefault="00586252" w:rsidP="00586252">
      <w:pPr>
        <w:rPr>
          <w:rFonts w:ascii="Arial" w:hAnsi="Arial" w:cs="Arial"/>
        </w:rPr>
      </w:pPr>
    </w:p>
    <w:p w14:paraId="45D64874" w14:textId="77777777" w:rsidR="00586252" w:rsidRPr="003A1EDA" w:rsidRDefault="00586252" w:rsidP="00586252">
      <w:pPr>
        <w:rPr>
          <w:rFonts w:ascii="Arial" w:hAnsi="Arial" w:cs="Arial"/>
        </w:rPr>
      </w:pPr>
      <w:r w:rsidRPr="003A1EDA">
        <w:rPr>
          <w:rFonts w:ascii="Arial" w:hAnsi="Arial" w:cs="Arial"/>
        </w:rPr>
        <w:t>4. Con il terzo motivo si deduce, ai sensi dell'art. 360, primo comma, n. 4, c.p.c., contraddittorietà e illogicità della motivazione che determinano la nullità della sentenza in relazione all'art. 132 comma 2, n. 4 c.p.c. e dell'art. 118 delle norme di attuazione c.p.c. posto che la sentenza impugnata contiene passaggi motivazionali totalmente incoerenti con le deposizioni testimoniali, ivi riportate.</w:t>
      </w:r>
    </w:p>
    <w:p w14:paraId="48A65CDC" w14:textId="77777777" w:rsidR="00586252" w:rsidRPr="003A1EDA" w:rsidRDefault="00586252" w:rsidP="00586252">
      <w:pPr>
        <w:rPr>
          <w:rFonts w:ascii="Arial" w:hAnsi="Arial" w:cs="Arial"/>
        </w:rPr>
      </w:pPr>
    </w:p>
    <w:p w14:paraId="31455225" w14:textId="77777777" w:rsidR="00586252" w:rsidRPr="003A1EDA" w:rsidRDefault="00586252" w:rsidP="00586252">
      <w:pPr>
        <w:rPr>
          <w:rFonts w:ascii="Arial" w:hAnsi="Arial" w:cs="Arial"/>
        </w:rPr>
      </w:pPr>
      <w:r w:rsidRPr="003A1EDA">
        <w:rPr>
          <w:rFonts w:ascii="Arial" w:hAnsi="Arial" w:cs="Arial"/>
        </w:rPr>
        <w:t>5. Il motivo è inammissibile.</w:t>
      </w:r>
    </w:p>
    <w:p w14:paraId="4B6D1056" w14:textId="77777777" w:rsidR="00586252" w:rsidRPr="003A1EDA" w:rsidRDefault="00586252" w:rsidP="00586252">
      <w:pPr>
        <w:rPr>
          <w:rFonts w:ascii="Arial" w:hAnsi="Arial" w:cs="Arial"/>
        </w:rPr>
      </w:pPr>
    </w:p>
    <w:p w14:paraId="3218843E" w14:textId="77777777" w:rsidR="00586252" w:rsidRPr="003A1EDA" w:rsidRDefault="00586252" w:rsidP="00586252">
      <w:pPr>
        <w:rPr>
          <w:rFonts w:ascii="Arial" w:hAnsi="Arial" w:cs="Arial"/>
        </w:rPr>
      </w:pPr>
      <w:r w:rsidRPr="003A1EDA">
        <w:rPr>
          <w:rFonts w:ascii="Arial" w:hAnsi="Arial" w:cs="Arial"/>
        </w:rPr>
        <w:t>5.1. La nullità della sentenza per mancanza della motivazione, ai sensi dell'art. 132 c.p.c., è prospettabile quando la motivazione manchi addirittura graficamente, ovvero sia così oscura da non lasciarsi intendere da un normale intelletto.</w:t>
      </w:r>
    </w:p>
    <w:p w14:paraId="7195FF8F" w14:textId="77777777" w:rsidR="00586252" w:rsidRPr="003A1EDA" w:rsidRDefault="00586252" w:rsidP="00586252">
      <w:pPr>
        <w:rPr>
          <w:rFonts w:ascii="Arial" w:hAnsi="Arial" w:cs="Arial"/>
        </w:rPr>
      </w:pPr>
    </w:p>
    <w:p w14:paraId="227A0444" w14:textId="77777777" w:rsidR="00586252" w:rsidRPr="003A1EDA" w:rsidRDefault="00586252" w:rsidP="00586252">
      <w:pPr>
        <w:rPr>
          <w:rFonts w:ascii="Arial" w:hAnsi="Arial" w:cs="Arial"/>
        </w:rPr>
      </w:pPr>
      <w:r w:rsidRPr="003A1EDA">
        <w:rPr>
          <w:rFonts w:ascii="Arial" w:hAnsi="Arial" w:cs="Arial"/>
        </w:rPr>
        <w:t xml:space="preserve">In particolare, il vizio di motivazione previsto dall'art. 132, comma 2, n. 4, c.p.c. e dall'art. 111 Cost. sussiste quando la pronuncia riveli una obiettiva carenza nella indicazione del criterio logico che ha condotto il giudice alla formazione del proprio convincimento, come accade quando non vi sia alcuna esplicitazione sul quadro probatorio, né alcuna disamina logico-giuridica che lasci trasparire il percorso argomentativo seguito (Cfr. Cass. n. 3819 del 2020), non essendo più ammissibili, a seguito alla riformulazione dell'art. 360, primo </w:t>
      </w:r>
      <w:r w:rsidRPr="003A1EDA">
        <w:rPr>
          <w:rFonts w:ascii="Arial" w:hAnsi="Arial" w:cs="Arial"/>
        </w:rPr>
        <w:lastRenderedPageBreak/>
        <w:t xml:space="preserve">comma, n. 5, c.p.c. (disposta dall'art. 54 del D.L. n. 83 del 2012, </w:t>
      </w:r>
      <w:proofErr w:type="spellStart"/>
      <w:r w:rsidRPr="003A1EDA">
        <w:rPr>
          <w:rFonts w:ascii="Arial" w:hAnsi="Arial" w:cs="Arial"/>
        </w:rPr>
        <w:t>conv</w:t>
      </w:r>
      <w:proofErr w:type="spellEnd"/>
      <w:r w:rsidRPr="003A1EDA">
        <w:rPr>
          <w:rFonts w:ascii="Arial" w:hAnsi="Arial" w:cs="Arial"/>
        </w:rPr>
        <w:t xml:space="preserve">., con </w:t>
      </w:r>
      <w:proofErr w:type="spellStart"/>
      <w:r w:rsidRPr="003A1EDA">
        <w:rPr>
          <w:rFonts w:ascii="Arial" w:hAnsi="Arial" w:cs="Arial"/>
        </w:rPr>
        <w:t>modif</w:t>
      </w:r>
      <w:proofErr w:type="spellEnd"/>
      <w:r w:rsidRPr="003A1EDA">
        <w:rPr>
          <w:rFonts w:ascii="Arial" w:hAnsi="Arial" w:cs="Arial"/>
        </w:rPr>
        <w:t>., dalla L. n. 134 del 2012), le censure di contraddittorietà e insufficienza della motivazione della sentenza di merito impugnata (Cass. n. 23940 del 2017).</w:t>
      </w:r>
    </w:p>
    <w:p w14:paraId="3E026D29" w14:textId="77777777" w:rsidR="00586252" w:rsidRPr="003A1EDA" w:rsidRDefault="00586252" w:rsidP="00586252">
      <w:pPr>
        <w:rPr>
          <w:rFonts w:ascii="Arial" w:hAnsi="Arial" w:cs="Arial"/>
        </w:rPr>
      </w:pPr>
    </w:p>
    <w:p w14:paraId="7E228A2B" w14:textId="77777777" w:rsidR="00586252" w:rsidRPr="003A1EDA" w:rsidRDefault="00586252" w:rsidP="00586252">
      <w:pPr>
        <w:rPr>
          <w:rFonts w:ascii="Arial" w:hAnsi="Arial" w:cs="Arial"/>
        </w:rPr>
      </w:pPr>
      <w:r w:rsidRPr="003A1EDA">
        <w:rPr>
          <w:rFonts w:ascii="Arial" w:hAnsi="Arial" w:cs="Arial"/>
        </w:rPr>
        <w:t>Nessuna di queste circostanze ricorre nel caso di specie, avendo, la sentenza impugnata, effettuato una ricognizione logico-giuridica del tutto intellegibile.</w:t>
      </w:r>
    </w:p>
    <w:p w14:paraId="0E1B9061" w14:textId="77777777" w:rsidR="00586252" w:rsidRPr="003A1EDA" w:rsidRDefault="00586252" w:rsidP="00586252">
      <w:pPr>
        <w:rPr>
          <w:rFonts w:ascii="Arial" w:hAnsi="Arial" w:cs="Arial"/>
        </w:rPr>
      </w:pPr>
    </w:p>
    <w:p w14:paraId="527E9D59" w14:textId="77777777" w:rsidR="00586252" w:rsidRPr="003A1EDA" w:rsidRDefault="00586252" w:rsidP="00586252">
      <w:pPr>
        <w:rPr>
          <w:rFonts w:ascii="Arial" w:hAnsi="Arial" w:cs="Arial"/>
        </w:rPr>
      </w:pPr>
      <w:r w:rsidRPr="003A1EDA">
        <w:rPr>
          <w:rFonts w:ascii="Arial" w:hAnsi="Arial" w:cs="Arial"/>
        </w:rPr>
        <w:t>6. In conclusione, il ricorso va rigettato e le spese di lite sono regolate secondo il criterio della soccombenza dettato dall'art. 91 c.p.c.</w:t>
      </w:r>
    </w:p>
    <w:p w14:paraId="5E673D71" w14:textId="77777777" w:rsidR="00586252" w:rsidRPr="003A1EDA" w:rsidRDefault="00586252" w:rsidP="00586252">
      <w:pPr>
        <w:rPr>
          <w:rFonts w:ascii="Arial" w:hAnsi="Arial" w:cs="Arial"/>
        </w:rPr>
      </w:pPr>
    </w:p>
    <w:p w14:paraId="39ACF749" w14:textId="77777777" w:rsidR="00586252" w:rsidRPr="003A1EDA" w:rsidRDefault="00586252" w:rsidP="00586252">
      <w:pPr>
        <w:rPr>
          <w:rFonts w:ascii="Arial" w:hAnsi="Arial" w:cs="Arial"/>
        </w:rPr>
      </w:pPr>
      <w:r w:rsidRPr="003A1EDA">
        <w:rPr>
          <w:rFonts w:ascii="Arial" w:hAnsi="Arial" w:cs="Arial"/>
        </w:rPr>
        <w:t>7. Sussistono le condizioni di cui all'art. 13, comma 1 quater, D.P.R.115 del 2002.</w:t>
      </w:r>
    </w:p>
    <w:p w14:paraId="3B978030" w14:textId="77777777" w:rsidR="00586252" w:rsidRPr="003A1EDA" w:rsidRDefault="00586252" w:rsidP="00586252">
      <w:pPr>
        <w:rPr>
          <w:rFonts w:ascii="Arial" w:hAnsi="Arial" w:cs="Arial"/>
        </w:rPr>
      </w:pPr>
    </w:p>
    <w:p w14:paraId="3E1D9505" w14:textId="77777777" w:rsidR="00586252" w:rsidRPr="003A1EDA" w:rsidRDefault="00586252" w:rsidP="00586252">
      <w:pPr>
        <w:rPr>
          <w:rFonts w:ascii="Arial" w:hAnsi="Arial" w:cs="Arial"/>
        </w:rPr>
      </w:pPr>
      <w:r w:rsidRPr="003A1EDA">
        <w:rPr>
          <w:rFonts w:ascii="Arial" w:hAnsi="Arial" w:cs="Arial"/>
        </w:rPr>
        <w:t>P.Q.M.</w:t>
      </w:r>
    </w:p>
    <w:p w14:paraId="0FEAA3A8" w14:textId="77777777" w:rsidR="00586252" w:rsidRPr="003A1EDA" w:rsidRDefault="00586252" w:rsidP="00586252">
      <w:pPr>
        <w:rPr>
          <w:rFonts w:ascii="Arial" w:hAnsi="Arial" w:cs="Arial"/>
        </w:rPr>
      </w:pPr>
    </w:p>
    <w:p w14:paraId="37951868" w14:textId="77777777" w:rsidR="00586252" w:rsidRPr="003A1EDA" w:rsidRDefault="00586252" w:rsidP="00586252">
      <w:pPr>
        <w:rPr>
          <w:rFonts w:ascii="Arial" w:hAnsi="Arial" w:cs="Arial"/>
        </w:rPr>
      </w:pPr>
      <w:r w:rsidRPr="003A1EDA">
        <w:rPr>
          <w:rFonts w:ascii="Arial" w:hAnsi="Arial" w:cs="Arial"/>
        </w:rPr>
        <w:t xml:space="preserve">La Corte rigetta il ricorso e condanna il ricorrente al pagamento delle spese del presente giudizio di legittimità che si liquidano in </w:t>
      </w:r>
      <w:proofErr w:type="gramStart"/>
      <w:r w:rsidRPr="003A1EDA">
        <w:rPr>
          <w:rFonts w:ascii="Arial" w:hAnsi="Arial" w:cs="Arial"/>
        </w:rPr>
        <w:t>Euro</w:t>
      </w:r>
      <w:proofErr w:type="gramEnd"/>
      <w:r w:rsidRPr="003A1EDA">
        <w:rPr>
          <w:rFonts w:ascii="Arial" w:hAnsi="Arial" w:cs="Arial"/>
        </w:rPr>
        <w:t xml:space="preserve"> 200,00 per esborsi, nonché in </w:t>
      </w:r>
      <w:proofErr w:type="gramStart"/>
      <w:r w:rsidRPr="003A1EDA">
        <w:rPr>
          <w:rFonts w:ascii="Arial" w:hAnsi="Arial" w:cs="Arial"/>
        </w:rPr>
        <w:t>Euro</w:t>
      </w:r>
      <w:proofErr w:type="gramEnd"/>
      <w:r w:rsidRPr="003A1EDA">
        <w:rPr>
          <w:rFonts w:ascii="Arial" w:hAnsi="Arial" w:cs="Arial"/>
        </w:rPr>
        <w:t xml:space="preserve"> 3.500,00 per compensi professionali, oltre spese generali al 15% ed accessori di legge.</w:t>
      </w:r>
    </w:p>
    <w:p w14:paraId="6DD62658" w14:textId="77777777" w:rsidR="00586252" w:rsidRPr="003A1EDA" w:rsidRDefault="00586252" w:rsidP="00586252">
      <w:pPr>
        <w:rPr>
          <w:rFonts w:ascii="Arial" w:hAnsi="Arial" w:cs="Arial"/>
        </w:rPr>
      </w:pPr>
    </w:p>
    <w:p w14:paraId="4B89F2A2" w14:textId="77777777" w:rsidR="00586252" w:rsidRPr="003A1EDA" w:rsidRDefault="00586252" w:rsidP="00586252">
      <w:pPr>
        <w:rPr>
          <w:rFonts w:ascii="Arial" w:hAnsi="Arial" w:cs="Arial"/>
        </w:rPr>
      </w:pPr>
      <w:r w:rsidRPr="003A1EDA">
        <w:rPr>
          <w:rFonts w:ascii="Arial" w:hAnsi="Arial" w:cs="Arial"/>
        </w:rPr>
        <w:t>Ai sensi dell'art. 13, comma 1-quater, del D.P.R. 30 maggio 2002, n. 115, nel testo introdotto dall'art. 1, comma 17, della legge 24 dicembre 20012, n. 228, dà atto della sussistenza dei presupposti processuali per il versamento, da parte del ricorrente, dell'ulteriore importo a titolo di contributo unificato, pari a quello previsto per il ricorso, a norma del comma 1-bis dello stesso art. 13, se dovuto.</w:t>
      </w:r>
    </w:p>
    <w:p w14:paraId="062E03A7" w14:textId="77777777" w:rsidR="00586252" w:rsidRPr="003A1EDA" w:rsidRDefault="00586252" w:rsidP="00586252">
      <w:pPr>
        <w:rPr>
          <w:rFonts w:ascii="Arial" w:hAnsi="Arial" w:cs="Arial"/>
        </w:rPr>
      </w:pPr>
    </w:p>
    <w:p w14:paraId="2E4EC621" w14:textId="77777777" w:rsidR="00586252" w:rsidRPr="003A1EDA" w:rsidRDefault="00586252" w:rsidP="00586252">
      <w:pPr>
        <w:rPr>
          <w:rFonts w:ascii="Arial" w:hAnsi="Arial" w:cs="Arial"/>
        </w:rPr>
      </w:pPr>
      <w:r w:rsidRPr="003A1EDA">
        <w:rPr>
          <w:rFonts w:ascii="Arial" w:hAnsi="Arial" w:cs="Arial"/>
        </w:rPr>
        <w:t>Così deciso in Roma, all'udienza del 27 maggio 2026.</w:t>
      </w:r>
    </w:p>
    <w:p w14:paraId="1F13BD20" w14:textId="77777777" w:rsidR="00586252" w:rsidRPr="003A1EDA" w:rsidRDefault="00586252" w:rsidP="00586252">
      <w:pPr>
        <w:rPr>
          <w:rFonts w:ascii="Arial" w:hAnsi="Arial" w:cs="Arial"/>
        </w:rPr>
      </w:pPr>
    </w:p>
    <w:p w14:paraId="2D528E3C" w14:textId="534B45FF" w:rsidR="0028686D" w:rsidRPr="00BF039C" w:rsidRDefault="00586252" w:rsidP="00586252">
      <w:pPr>
        <w:rPr>
          <w:rFonts w:ascii="Arial" w:hAnsi="Arial" w:cs="Arial"/>
        </w:rPr>
      </w:pPr>
      <w:r w:rsidRPr="003A1EDA">
        <w:rPr>
          <w:rFonts w:ascii="Arial" w:hAnsi="Arial" w:cs="Arial"/>
        </w:rPr>
        <w:t>Depositata in</w:t>
      </w:r>
      <w:r w:rsidRPr="00BF039C">
        <w:rPr>
          <w:rFonts w:ascii="Arial" w:hAnsi="Arial" w:cs="Arial"/>
        </w:rPr>
        <w:t xml:space="preserve"> Cancelleria il 18 giugno 2026.</w:t>
      </w:r>
    </w:p>
    <w:sectPr w:rsidR="0028686D" w:rsidRPr="00BF039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252"/>
    <w:rsid w:val="00264E2B"/>
    <w:rsid w:val="0028686D"/>
    <w:rsid w:val="003A1EDA"/>
    <w:rsid w:val="00493639"/>
    <w:rsid w:val="00502409"/>
    <w:rsid w:val="00586252"/>
    <w:rsid w:val="005C74BD"/>
    <w:rsid w:val="00AB5BF8"/>
    <w:rsid w:val="00BF039C"/>
    <w:rsid w:val="00CB25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BB95E"/>
  <w15:chartTrackingRefBased/>
  <w15:docId w15:val="{AED55090-2B06-46EB-812B-19B1412E8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862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862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8625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8625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8625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8625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8625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8625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8625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8625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8625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8625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8625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8625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8625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8625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8625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86252"/>
    <w:rPr>
      <w:rFonts w:eastAsiaTheme="majorEastAsia" w:cstheme="majorBidi"/>
      <w:color w:val="272727" w:themeColor="text1" w:themeTint="D8"/>
    </w:rPr>
  </w:style>
  <w:style w:type="paragraph" w:styleId="Titolo">
    <w:name w:val="Title"/>
    <w:basedOn w:val="Normale"/>
    <w:next w:val="Normale"/>
    <w:link w:val="TitoloCarattere"/>
    <w:uiPriority w:val="10"/>
    <w:qFormat/>
    <w:rsid w:val="005862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8625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8625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8625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8625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86252"/>
    <w:rPr>
      <w:i/>
      <w:iCs/>
      <w:color w:val="404040" w:themeColor="text1" w:themeTint="BF"/>
    </w:rPr>
  </w:style>
  <w:style w:type="paragraph" w:styleId="Paragrafoelenco">
    <w:name w:val="List Paragraph"/>
    <w:basedOn w:val="Normale"/>
    <w:uiPriority w:val="34"/>
    <w:qFormat/>
    <w:rsid w:val="00586252"/>
    <w:pPr>
      <w:ind w:left="720"/>
      <w:contextualSpacing/>
    </w:pPr>
  </w:style>
  <w:style w:type="character" w:styleId="Enfasiintensa">
    <w:name w:val="Intense Emphasis"/>
    <w:basedOn w:val="Carpredefinitoparagrafo"/>
    <w:uiPriority w:val="21"/>
    <w:qFormat/>
    <w:rsid w:val="00586252"/>
    <w:rPr>
      <w:i/>
      <w:iCs/>
      <w:color w:val="0F4761" w:themeColor="accent1" w:themeShade="BF"/>
    </w:rPr>
  </w:style>
  <w:style w:type="paragraph" w:styleId="Citazioneintensa">
    <w:name w:val="Intense Quote"/>
    <w:basedOn w:val="Normale"/>
    <w:next w:val="Normale"/>
    <w:link w:val="CitazioneintensaCarattere"/>
    <w:uiPriority w:val="30"/>
    <w:qFormat/>
    <w:rsid w:val="005862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86252"/>
    <w:rPr>
      <w:i/>
      <w:iCs/>
      <w:color w:val="0F4761" w:themeColor="accent1" w:themeShade="BF"/>
    </w:rPr>
  </w:style>
  <w:style w:type="character" w:styleId="Riferimentointenso">
    <w:name w:val="Intense Reference"/>
    <w:basedOn w:val="Carpredefinitoparagrafo"/>
    <w:uiPriority w:val="32"/>
    <w:qFormat/>
    <w:rsid w:val="00586252"/>
    <w:rPr>
      <w:b/>
      <w:bCs/>
      <w:smallCaps/>
      <w:color w:val="0F4761" w:themeColor="accent1" w:themeShade="BF"/>
      <w:spacing w:val="5"/>
    </w:rPr>
  </w:style>
  <w:style w:type="character" w:styleId="Enfasigrassetto">
    <w:name w:val="Strong"/>
    <w:basedOn w:val="Carpredefinitoparagrafo"/>
    <w:uiPriority w:val="22"/>
    <w:qFormat/>
    <w:rsid w:val="00BF03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1654</Words>
  <Characters>9434</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FNOMCeO</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Marcello Fontana</dc:creator>
  <cp:keywords/>
  <dc:description/>
  <cp:lastModifiedBy>Marcello Fontana</cp:lastModifiedBy>
  <cp:revision>2</cp:revision>
  <dcterms:created xsi:type="dcterms:W3CDTF">2026-07-15T10:25:00Z</dcterms:created>
  <dcterms:modified xsi:type="dcterms:W3CDTF">2026-07-15T10:25:00Z</dcterms:modified>
</cp:coreProperties>
</file>