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5B313D" w:rsidP="002224FB">
            <w:pPr>
              <w:ind w:left="900"/>
              <w:jc w:val="center"/>
              <w:rPr>
                <w:rFonts w:ascii="Arial" w:hAnsi="Arial" w:cs="Arial"/>
              </w:rPr>
            </w:pPr>
            <w:bookmarkStart w:id="0" w:name="_GoBack"/>
            <w:bookmarkEnd w:id="0"/>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9" o:title="" blacklevel="1966f"/>
                  <w10:wrap type="square"/>
                </v:shape>
                <o:OLEObject Type="Embed" ProgID="Word.Picture.8" ShapeID="_x0000_s1029" DrawAspect="Content" ObjectID="_1600918839"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DD552E" w:rsidRDefault="00DD552E" w:rsidP="0043256E">
      <w:pPr>
        <w:ind w:left="1134"/>
        <w:jc w:val="center"/>
        <w:rPr>
          <w:rFonts w:ascii="Arial" w:hAnsi="Arial" w:cs="Arial"/>
          <w:b/>
          <w:sz w:val="28"/>
          <w:szCs w:val="28"/>
          <w:u w:val="single"/>
        </w:rPr>
      </w:pPr>
    </w:p>
    <w:p w:rsidR="00DD552E" w:rsidRDefault="00DD552E" w:rsidP="00DD552E">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80 del 7.10.2022</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.123</w:t>
      </w:r>
    </w:p>
    <w:p w:rsidR="00DD552E" w:rsidRPr="00172455" w:rsidRDefault="00DD552E" w:rsidP="00DD552E">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5061AA">
        <w:rPr>
          <w:rFonts w:ascii="Times New Roman" w:hAnsi="Times New Roman"/>
          <w:sz w:val="20"/>
        </w:rPr>
        <w:t>45820/10.10.2022</w:t>
      </w:r>
    </w:p>
    <w:p w:rsidR="00DD552E" w:rsidRDefault="00DD552E" w:rsidP="00DD552E">
      <w:pPr>
        <w:pStyle w:val="Titolo"/>
        <w:ind w:right="0"/>
        <w:rPr>
          <w:rFonts w:ascii="Times New Roman" w:hAnsi="Times New Roman"/>
          <w:sz w:val="36"/>
          <w:szCs w:val="36"/>
          <w:u w:val="double"/>
        </w:rPr>
      </w:pPr>
    </w:p>
    <w:p w:rsidR="00DD552E" w:rsidRPr="00C16DFB" w:rsidRDefault="00DD552E" w:rsidP="00DD552E">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sidR="005F1503">
        <w:rPr>
          <w:rFonts w:ascii="Times New Roman" w:hAnsi="Times New Roman"/>
          <w:sz w:val="36"/>
          <w:szCs w:val="36"/>
          <w:u w:val="double"/>
        </w:rPr>
        <w:t>7</w:t>
      </w:r>
      <w:r>
        <w:rPr>
          <w:rFonts w:ascii="Times New Roman" w:hAnsi="Times New Roman"/>
          <w:sz w:val="36"/>
          <w:szCs w:val="36"/>
          <w:u w:val="double"/>
        </w:rPr>
        <w:t xml:space="preserve"> NOVEMBRE 2022</w:t>
      </w:r>
    </w:p>
    <w:p w:rsidR="007A32F6" w:rsidRDefault="007A32F6"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6F6543">
        <w:rPr>
          <w:rFonts w:ascii="Arial" w:hAnsi="Arial" w:cs="Arial"/>
          <w:sz w:val="22"/>
          <w:szCs w:val="22"/>
        </w:rPr>
        <w:t>815</w:t>
      </w:r>
      <w:r w:rsidR="004860D7" w:rsidRPr="002224FB">
        <w:rPr>
          <w:rFonts w:ascii="Arial" w:hAnsi="Arial" w:cs="Arial"/>
          <w:sz w:val="22"/>
          <w:szCs w:val="22"/>
        </w:rPr>
        <w:t xml:space="preserve"> </w:t>
      </w:r>
      <w:r w:rsidR="00820CC2" w:rsidRPr="002224FB">
        <w:rPr>
          <w:rFonts w:ascii="Arial" w:hAnsi="Arial" w:cs="Arial"/>
          <w:sz w:val="22"/>
          <w:szCs w:val="22"/>
        </w:rPr>
        <w:t>del</w:t>
      </w:r>
      <w:r w:rsidR="006F6543">
        <w:rPr>
          <w:rFonts w:ascii="Arial" w:hAnsi="Arial" w:cs="Arial"/>
          <w:sz w:val="22"/>
          <w:szCs w:val="22"/>
        </w:rPr>
        <w:t>l’1.9.2022</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 xml:space="preserve">CCNL 19.12.2019,  </w:t>
      </w:r>
      <w:r w:rsidR="00661157">
        <w:rPr>
          <w:rFonts w:ascii="Arial" w:hAnsi="Arial" w:cs="Arial"/>
          <w:sz w:val="22"/>
          <w:szCs w:val="22"/>
        </w:rPr>
        <w:t xml:space="preserve">Legge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C4768E">
        <w:rPr>
          <w:rFonts w:ascii="Arial" w:hAnsi="Arial" w:cs="Arial"/>
          <w:sz w:val="22"/>
          <w:szCs w:val="22"/>
        </w:rPr>
        <w:t>l</w:t>
      </w:r>
      <w:r w:rsidR="00291602">
        <w:rPr>
          <w:rFonts w:ascii="Arial" w:hAnsi="Arial" w:cs="Arial"/>
          <w:sz w:val="22"/>
          <w:szCs w:val="22"/>
        </w:rPr>
        <w:t xml:space="preserve"> </w:t>
      </w:r>
      <w:r>
        <w:rPr>
          <w:rFonts w:ascii="Arial" w:hAnsi="Arial" w:cs="Arial"/>
          <w:sz w:val="22"/>
          <w:szCs w:val="22"/>
        </w:rPr>
        <w:t>seguent</w:t>
      </w:r>
      <w:r w:rsidR="00C4768E">
        <w:rPr>
          <w:rFonts w:ascii="Arial" w:hAnsi="Arial" w:cs="Arial"/>
          <w:sz w:val="22"/>
          <w:szCs w:val="22"/>
        </w:rPr>
        <w:t>e</w:t>
      </w:r>
      <w:r>
        <w:rPr>
          <w:rFonts w:ascii="Arial" w:hAnsi="Arial" w:cs="Arial"/>
          <w:sz w:val="22"/>
          <w:szCs w:val="22"/>
        </w:rPr>
        <w:t xml:space="preserve"> post</w:t>
      </w:r>
      <w:r w:rsidR="00C4768E">
        <w:rPr>
          <w:rFonts w:ascii="Arial" w:hAnsi="Arial" w:cs="Arial"/>
          <w:sz w:val="22"/>
          <w:szCs w:val="22"/>
        </w:rPr>
        <w:t>o</w:t>
      </w:r>
      <w:r w:rsidR="002A30FD" w:rsidRPr="002224FB">
        <w:rPr>
          <w:rFonts w:ascii="Arial" w:hAnsi="Arial" w:cs="Arial"/>
          <w:sz w:val="22"/>
          <w:szCs w:val="22"/>
        </w:rPr>
        <w:t>:</w:t>
      </w:r>
    </w:p>
    <w:p w:rsidR="004B171D" w:rsidRPr="002224FB" w:rsidRDefault="004B171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C4768E">
        <w:rPr>
          <w:rFonts w:ascii="Arial" w:hAnsi="Arial" w:cs="Arial"/>
          <w:b/>
          <w:sz w:val="24"/>
          <w:szCs w:val="24"/>
        </w:rPr>
        <w:t>1</w:t>
      </w:r>
      <w:r w:rsidR="00F23EAD">
        <w:rPr>
          <w:rFonts w:ascii="Arial" w:hAnsi="Arial" w:cs="Arial"/>
          <w:b/>
          <w:sz w:val="24"/>
          <w:szCs w:val="24"/>
        </w:rPr>
        <w:t xml:space="preserve"> post</w:t>
      </w:r>
      <w:r w:rsidR="00C4768E">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4211C6" w:rsidRDefault="00C4768E" w:rsidP="00785781">
      <w:pPr>
        <w:tabs>
          <w:tab w:val="left" w:pos="142"/>
          <w:tab w:val="left" w:pos="567"/>
          <w:tab w:val="left" w:pos="2160"/>
          <w:tab w:val="left" w:pos="4500"/>
        </w:tabs>
        <w:spacing w:line="282" w:lineRule="atLeast"/>
        <w:ind w:firstLine="567"/>
        <w:jc w:val="center"/>
        <w:rPr>
          <w:rFonts w:ascii="Arial" w:hAnsi="Arial" w:cs="Arial"/>
          <w:sz w:val="24"/>
          <w:szCs w:val="24"/>
          <w:u w:val="single"/>
        </w:rPr>
      </w:pPr>
      <w:r w:rsidRPr="00F23EAD">
        <w:rPr>
          <w:rFonts w:ascii="Arial" w:hAnsi="Arial" w:cs="Arial"/>
          <w:sz w:val="24"/>
          <w:szCs w:val="24"/>
          <w:u w:val="single"/>
        </w:rPr>
        <w:t xml:space="preserve">AREA </w:t>
      </w:r>
      <w:r w:rsidR="00B354B7">
        <w:rPr>
          <w:rFonts w:ascii="Arial" w:hAnsi="Arial" w:cs="Arial"/>
          <w:sz w:val="24"/>
          <w:szCs w:val="24"/>
          <w:u w:val="single"/>
        </w:rPr>
        <w:t>MEDICA E DELLE SPECIALITÀ MEDICHE</w:t>
      </w:r>
      <w:r w:rsidRPr="004211C6">
        <w:rPr>
          <w:rFonts w:ascii="Arial" w:hAnsi="Arial" w:cs="Arial"/>
          <w:sz w:val="24"/>
          <w:szCs w:val="24"/>
          <w:u w:val="single"/>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B354B7">
        <w:rPr>
          <w:rFonts w:ascii="Arial" w:hAnsi="Arial" w:cs="Arial"/>
          <w:b/>
          <w:sz w:val="24"/>
          <w:szCs w:val="24"/>
        </w:rPr>
        <w:t>MEDICINA INTERNA</w:t>
      </w: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sidR="00C4768E">
        <w:rPr>
          <w:rFonts w:ascii="Arial" w:hAnsi="Arial" w:cs="Arial"/>
          <w:sz w:val="22"/>
        </w:rPr>
        <w:t>l</w:t>
      </w:r>
      <w:r>
        <w:rPr>
          <w:rFonts w:ascii="Arial" w:hAnsi="Arial" w:cs="Arial"/>
          <w:sz w:val="22"/>
        </w:rPr>
        <w:t xml:space="preserve"> vincitor</w:t>
      </w:r>
      <w:r w:rsidR="00C4768E">
        <w:rPr>
          <w:rFonts w:ascii="Arial" w:hAnsi="Arial" w:cs="Arial"/>
          <w:sz w:val="22"/>
        </w:rPr>
        <w:t>e</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6E368B" w:rsidRPr="002224FB" w:rsidRDefault="006E368B"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6F6543">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w:t>
      </w:r>
      <w:r w:rsidR="006F6543">
        <w:rPr>
          <w:rFonts w:ascii="Arial" w:hAnsi="Arial" w:cs="Arial"/>
          <w:sz w:val="22"/>
          <w:szCs w:val="22"/>
        </w:rPr>
        <w:t>nione Europea che siano titolar</w:t>
      </w:r>
      <w:r w:rsidRPr="006448C7">
        <w:rPr>
          <w:rFonts w:ascii="Arial" w:hAnsi="Arial" w:cs="Arial"/>
          <w:sz w:val="22"/>
          <w:szCs w:val="22"/>
        </w:rPr>
        <w:t>i del permesso di soggi</w:t>
      </w:r>
      <w:r w:rsidR="006F6543">
        <w:rPr>
          <w:rFonts w:ascii="Arial" w:hAnsi="Arial" w:cs="Arial"/>
          <w:sz w:val="22"/>
          <w:szCs w:val="22"/>
        </w:rPr>
        <w:t>orno CE per soggiornanti di lun</w:t>
      </w:r>
      <w:r w:rsidRPr="006448C7">
        <w:rPr>
          <w:rFonts w:ascii="Arial" w:hAnsi="Arial" w:cs="Arial"/>
          <w:sz w:val="22"/>
          <w:szCs w:val="22"/>
        </w:rPr>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lastRenderedPageBreak/>
        <w:t xml:space="preserve">Sono considerati familiari, secondo la Direttiva Comunitaria n. 2004/28/CE, il coniuge del migrante, i discendenti diretti di età inferiore a 21 anni a carico </w:t>
      </w:r>
      <w:r w:rsidR="006F6543">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6F6543">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7A32F6" w:rsidRDefault="007A32F6"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B354B7">
        <w:rPr>
          <w:rFonts w:ascii="Arial" w:hAnsi="Arial" w:cs="Arial"/>
          <w:b/>
          <w:sz w:val="22"/>
          <w:szCs w:val="22"/>
        </w:rPr>
        <w:t>Medicina Interna</w:t>
      </w:r>
      <w:r>
        <w:t xml:space="preserve">. </w:t>
      </w:r>
      <w:r w:rsidR="00C4768E"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sidR="00C4768E">
        <w:rPr>
          <w:rFonts w:ascii="Arial" w:hAnsi="Arial" w:cs="Arial"/>
          <w:sz w:val="22"/>
          <w:szCs w:val="22"/>
        </w:rPr>
        <w:t>l</w:t>
      </w:r>
      <w:r w:rsidR="00C4768E"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i medici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w:t>
      </w:r>
      <w:r w:rsidRPr="00331BBE">
        <w:rPr>
          <w:rFonts w:ascii="Arial" w:hAnsi="Arial" w:cs="Arial"/>
          <w:sz w:val="22"/>
          <w:szCs w:val="22"/>
        </w:rPr>
        <w:lastRenderedPageBreak/>
        <w:t xml:space="preserve">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6E368B" w:rsidRPr="002224FB" w:rsidRDefault="006E368B"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del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del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deltesto"/>
        <w:ind w:left="851"/>
        <w:jc w:val="both"/>
        <w:rPr>
          <w:rFonts w:ascii="Arial" w:hAnsi="Arial" w:cs="Arial"/>
          <w:sz w:val="22"/>
          <w:szCs w:val="22"/>
        </w:rPr>
      </w:pPr>
    </w:p>
    <w:p w:rsidR="00BD5579" w:rsidRDefault="00BD5579" w:rsidP="00BD5579">
      <w:pPr>
        <w:pStyle w:val="Corpodel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deltesto"/>
        <w:numPr>
          <w:ilvl w:val="0"/>
          <w:numId w:val="37"/>
        </w:numPr>
        <w:jc w:val="both"/>
        <w:rPr>
          <w:rFonts w:ascii="Arial" w:hAnsi="Arial" w:cs="Arial"/>
          <w:sz w:val="22"/>
          <w:szCs w:val="22"/>
        </w:rPr>
      </w:pPr>
      <w:r>
        <w:rPr>
          <w:rFonts w:ascii="Arial" w:hAnsi="Arial" w:cs="Arial"/>
          <w:sz w:val="22"/>
          <w:szCs w:val="22"/>
        </w:rPr>
        <w:t xml:space="preserve"> </w:t>
      </w:r>
      <w:r w:rsidRPr="00BD5579">
        <w:rPr>
          <w:rFonts w:ascii="Arial" w:hAnsi="Arial" w:cs="Arial"/>
          <w:sz w:val="22"/>
          <w:szCs w:val="22"/>
        </w:rPr>
        <w:t>la data, il luogo di nascita, il codice fiscale e la residenza;</w:t>
      </w:r>
    </w:p>
    <w:p w:rsidR="00BD5579" w:rsidRPr="00BD5579" w:rsidRDefault="00BD5579" w:rsidP="00BD5579">
      <w:pPr>
        <w:pStyle w:val="Corpodel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del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del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del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del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 xml:space="preserve">Il titolo di studio conseguito all’estero deve aver ottenuto, entro la data di scadenza del presente bando di concorso, la </w:t>
      </w:r>
      <w:r w:rsidR="002A7A95" w:rsidRPr="00661157">
        <w:rPr>
          <w:rFonts w:ascii="Arial" w:hAnsi="Arial" w:cs="Arial"/>
          <w:sz w:val="22"/>
          <w:szCs w:val="22"/>
        </w:rPr>
        <w:lastRenderedPageBreak/>
        <w:t>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del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del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deltesto"/>
        <w:numPr>
          <w:ilvl w:val="0"/>
          <w:numId w:val="37"/>
        </w:numPr>
        <w:jc w:val="both"/>
        <w:rPr>
          <w:rFonts w:ascii="Arial" w:hAnsi="Arial" w:cs="Arial"/>
          <w:sz w:val="22"/>
          <w:szCs w:val="22"/>
        </w:rPr>
      </w:pPr>
      <w:r>
        <w:rPr>
          <w:rFonts w:ascii="Arial" w:hAnsi="Arial" w:cs="Arial"/>
          <w:sz w:val="22"/>
          <w:szCs w:val="22"/>
        </w:rPr>
        <w:t xml:space="preserve">gli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del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del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del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del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deltesto"/>
        <w:ind w:left="567"/>
        <w:rPr>
          <w:rFonts w:ascii="Calibri" w:hAnsi="Calibri"/>
        </w:rPr>
      </w:pPr>
    </w:p>
    <w:p w:rsidR="005A2D01" w:rsidRPr="005A2D01" w:rsidRDefault="005A2D01" w:rsidP="005A2D01">
      <w:pPr>
        <w:pStyle w:val="Corpodel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del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del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C4768E">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C4768E">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F10274">
        <w:rPr>
          <w:rFonts w:ascii="Arial" w:hAnsi="Arial" w:cs="Arial"/>
          <w:sz w:val="22"/>
          <w:szCs w:val="22"/>
        </w:rPr>
        <w:t xml:space="preserve">medica e delle specialità mediche </w:t>
      </w:r>
      <w:r w:rsidR="00F21C12">
        <w:rPr>
          <w:rFonts w:ascii="Arial" w:hAnsi="Arial" w:cs="Arial"/>
          <w:sz w:val="22"/>
          <w:szCs w:val="22"/>
        </w:rPr>
        <w:t xml:space="preserve">– disciplina di </w:t>
      </w:r>
      <w:r w:rsidR="00F10274">
        <w:rPr>
          <w:rFonts w:ascii="Arial" w:hAnsi="Arial" w:cs="Arial"/>
          <w:sz w:val="22"/>
          <w:szCs w:val="22"/>
        </w:rPr>
        <w:t>Medicina Interna</w:t>
      </w:r>
      <w:r w:rsidRPr="005A2D01">
        <w:rPr>
          <w:rFonts w:ascii="Arial" w:hAnsi="Arial" w:cs="Arial"/>
          <w:sz w:val="22"/>
          <w:szCs w:val="22"/>
        </w:rPr>
        <w:t>.</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del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del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del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5B313D" w:rsidP="003D319E">
      <w:pPr>
        <w:pStyle w:val="Corpodeltesto"/>
        <w:overflowPunct/>
        <w:autoSpaceDE/>
        <w:autoSpaceDN/>
        <w:adjustRightInd/>
        <w:ind w:left="927"/>
        <w:jc w:val="both"/>
        <w:textAlignment w:val="auto"/>
        <w:rPr>
          <w:rFonts w:ascii="Arial" w:hAnsi="Arial" w:cs="Arial"/>
          <w:sz w:val="22"/>
          <w:szCs w:val="22"/>
        </w:rPr>
      </w:pPr>
      <w:r>
        <w:fldChar w:fldCharType="begin"/>
      </w:r>
      <w:r>
        <w:instrText xml:space="preserve"> HYPERLINK "https://pagamenti</w:instrText>
      </w:r>
      <w:r>
        <w:instrText xml:space="preserve">nlombardia.servizirl.it/pa/changeEnte.html?enteToChange=ASSTVO&amp;redirectUrl=home.html" \t "_blank" </w:instrText>
      </w:r>
      <w:r>
        <w:fldChar w:fldCharType="separate"/>
      </w:r>
      <w:r w:rsidR="003D319E">
        <w:rPr>
          <w:rStyle w:val="Collegamentoipertestuale"/>
          <w:rFonts w:ascii="Verdana" w:hAnsi="Verdana"/>
          <w:color w:val="0088CC"/>
        </w:rPr>
        <w:t>https://pagamentinlombardia.servizirl.it/pa/changeEnte.html?enteToChange=ASSTVO&amp;redirectUrl=home.html</w:t>
      </w:r>
      <w:r>
        <w:rPr>
          <w:rStyle w:val="Collegamentoipertestuale"/>
          <w:rFonts w:ascii="Verdana" w:hAnsi="Verdana"/>
          <w:color w:val="0088CC"/>
        </w:rPr>
        <w:fldChar w:fldCharType="end"/>
      </w:r>
    </w:p>
    <w:p w:rsidR="003D319E" w:rsidRPr="00461D3E" w:rsidRDefault="003D319E" w:rsidP="003D319E">
      <w:pPr>
        <w:pStyle w:val="Corpodeltesto"/>
        <w:overflowPunct/>
        <w:autoSpaceDE/>
        <w:autoSpaceDN/>
        <w:adjustRightInd/>
        <w:ind w:left="927"/>
        <w:jc w:val="both"/>
        <w:textAlignment w:val="auto"/>
        <w:rPr>
          <w:rFonts w:ascii="Arial" w:hAnsi="Arial" w:cs="Arial"/>
          <w:sz w:val="22"/>
          <w:szCs w:val="22"/>
        </w:rPr>
      </w:pPr>
      <w:r w:rsidRPr="00B1725C">
        <w:rPr>
          <w:rFonts w:ascii="Arial" w:hAnsi="Arial" w:cs="Arial"/>
          <w:sz w:val="22"/>
          <w:szCs w:val="22"/>
        </w:rPr>
        <w:t xml:space="preserve">con l’indicazione della causale “Tassa di partecipazione al Concorso Pubblico per n. </w:t>
      </w:r>
      <w:r w:rsidR="00C4768E">
        <w:rPr>
          <w:rFonts w:ascii="Arial" w:hAnsi="Arial" w:cs="Arial"/>
          <w:sz w:val="22"/>
          <w:szCs w:val="22"/>
        </w:rPr>
        <w:t>1</w:t>
      </w:r>
      <w:r>
        <w:rPr>
          <w:rFonts w:ascii="Arial" w:hAnsi="Arial" w:cs="Arial"/>
          <w:sz w:val="22"/>
          <w:szCs w:val="22"/>
        </w:rPr>
        <w:t xml:space="preserve"> post</w:t>
      </w:r>
      <w:r w:rsidR="00C4768E">
        <w:rPr>
          <w:rFonts w:ascii="Arial" w:hAnsi="Arial" w:cs="Arial"/>
          <w:sz w:val="22"/>
          <w:szCs w:val="22"/>
        </w:rPr>
        <w:t>o</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F10274">
        <w:rPr>
          <w:rFonts w:ascii="Arial" w:hAnsi="Arial" w:cs="Arial"/>
          <w:sz w:val="22"/>
          <w:szCs w:val="22"/>
        </w:rPr>
        <w:t>Medicina Interna</w:t>
      </w:r>
      <w:r w:rsidRPr="00B1725C">
        <w:rPr>
          <w:rFonts w:ascii="Arial" w:hAnsi="Arial" w:cs="Arial"/>
          <w:sz w:val="22"/>
          <w:szCs w:val="22"/>
        </w:rPr>
        <w:t>”</w:t>
      </w:r>
      <w:r>
        <w:rPr>
          <w:rFonts w:ascii="Arial" w:hAnsi="Arial" w:cs="Arial"/>
          <w:sz w:val="22"/>
          <w:szCs w:val="22"/>
        </w:rPr>
        <w:t>;</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FIRMATA  della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del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del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del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del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del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del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del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del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del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w:t>
      </w:r>
      <w:r w:rsidRPr="00C83E4C">
        <w:rPr>
          <w:rFonts w:ascii="Arial" w:hAnsi="Arial" w:cs="Arial"/>
          <w:sz w:val="22"/>
          <w:szCs w:val="22"/>
        </w:rPr>
        <w:lastRenderedPageBreak/>
        <w:t xml:space="preserve">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deltesto"/>
        <w:overflowPunct/>
        <w:autoSpaceDE/>
        <w:autoSpaceDN/>
        <w:adjustRightInd/>
        <w:ind w:left="927"/>
        <w:jc w:val="both"/>
        <w:textAlignment w:val="auto"/>
        <w:rPr>
          <w:rFonts w:ascii="Arial" w:hAnsi="Arial" w:cs="Arial"/>
          <w:sz w:val="22"/>
          <w:szCs w:val="22"/>
        </w:rPr>
      </w:pPr>
    </w:p>
    <w:p w:rsidR="00B9754C" w:rsidRPr="008D42C7" w:rsidRDefault="00B9754C" w:rsidP="00B9754C">
      <w:pPr>
        <w:pStyle w:val="Corpodel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3E2081" w:rsidRPr="003E2081" w:rsidRDefault="003E2081" w:rsidP="003E2081">
      <w:pPr>
        <w:pStyle w:val="Corpodel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del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del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B5EEE"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r w:rsidRPr="002224FB">
        <w:rPr>
          <w:rFonts w:ascii="Arial" w:hAnsi="Arial" w:cs="Arial"/>
          <w:sz w:val="22"/>
          <w:szCs w:val="22"/>
        </w:rPr>
        <w:t xml:space="preserve">a)per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curriculum formativo e professionale: punti </w:t>
      </w:r>
      <w:r w:rsidR="00F21C12">
        <w:rPr>
          <w:rFonts w:ascii="Arial" w:hAnsi="Arial" w:cs="Arial"/>
          <w:sz w:val="22"/>
          <w:szCs w:val="22"/>
        </w:rPr>
        <w:t>4</w:t>
      </w:r>
    </w:p>
    <w:p w:rsidR="007B5EEE" w:rsidRPr="002224FB" w:rsidRDefault="007B5EEE" w:rsidP="007B5EEE">
      <w:pPr>
        <w:tabs>
          <w:tab w:val="left" w:pos="9923"/>
        </w:tabs>
        <w:ind w:left="567" w:right="849"/>
        <w:jc w:val="both"/>
        <w:rPr>
          <w:rFonts w:ascii="Arial" w:hAnsi="Arial" w:cs="Arial"/>
          <w:sz w:val="22"/>
          <w:szCs w:val="22"/>
        </w:rPr>
      </w:pPr>
      <w:r w:rsidRPr="002224FB">
        <w:rPr>
          <w:rFonts w:ascii="Arial" w:hAnsi="Arial" w:cs="Arial"/>
          <w:sz w:val="22"/>
          <w:szCs w:val="22"/>
        </w:rPr>
        <w:t xml:space="preserve">b)per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B9754C" w:rsidRDefault="00B9754C" w:rsidP="00B9754C">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La comunicazione che verrà pubblicata sul sito aziendale avrà valore di notifica a tutti gli effetti,  senza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 così come modificata e integrata dalla Legge 8/2020.</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degli </w:t>
      </w:r>
      <w:r w:rsidRPr="00A26E89">
        <w:rPr>
          <w:rFonts w:ascii="Arial" w:hAnsi="Arial" w:cs="Arial"/>
          <w:sz w:val="22"/>
          <w:szCs w:val="22"/>
        </w:rPr>
        <w:t xml:space="preserve"> eventuali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Pr="00F80433" w:rsidRDefault="00C61AB5" w:rsidP="00C61AB5">
      <w:pPr>
        <w:widowControl w:val="0"/>
        <w:tabs>
          <w:tab w:val="left" w:pos="9923"/>
        </w:tabs>
        <w:ind w:left="567"/>
        <w:jc w:val="both"/>
        <w:rPr>
          <w:rFonts w:ascii="Arial" w:hAnsi="Arial" w:cs="Arial"/>
          <w:b/>
          <w:sz w:val="22"/>
          <w:szCs w:val="22"/>
        </w:rPr>
      </w:pPr>
      <w:r w:rsidRPr="00F80433">
        <w:rPr>
          <w:rFonts w:ascii="Arial" w:hAnsi="Arial" w:cs="Arial"/>
          <w:b/>
          <w:sz w:val="22"/>
        </w:rPr>
        <w:t xml:space="preserve">L’intera procedura si svolgerà nel rispetto della </w:t>
      </w:r>
      <w:r w:rsidRPr="00F80433">
        <w:rPr>
          <w:rFonts w:ascii="Arial" w:hAnsi="Arial" w:cs="Arial"/>
          <w:b/>
          <w:sz w:val="22"/>
          <w:szCs w:val="22"/>
        </w:rPr>
        <w:t>normativa vigente</w:t>
      </w:r>
      <w:r>
        <w:rPr>
          <w:rFonts w:ascii="Arial" w:hAnsi="Arial" w:cs="Arial"/>
          <w:b/>
          <w:sz w:val="22"/>
          <w:szCs w:val="22"/>
        </w:rPr>
        <w:t xml:space="preserve">, alla data di espletamento delle prove concorsuali, </w:t>
      </w:r>
      <w:r w:rsidRPr="00F80433">
        <w:rPr>
          <w:rFonts w:ascii="Arial" w:hAnsi="Arial" w:cs="Arial"/>
          <w:b/>
          <w:sz w:val="22"/>
          <w:szCs w:val="22"/>
        </w:rPr>
        <w:t>in materia di  contrasto e contenimento della diffusione del virus Covid-19 e pertanto con i calendari relativi alle prove d’esame saranno comunicate le prescrizioni e raccomandazioni cui i candidati e la Commissione dovranno attenersi.</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Ai sensi dell’art. 6 – 3° comma – del D.P.R. 483/97 si rende noto che il sorteggio dei componenti la commissione esaminatrice verrà fatto presso la sede legale dell’Azienda – Via A. da Brescia 2 – Busto Arsizio – presso la Struttura Complessa 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C4768E">
        <w:rPr>
          <w:rFonts w:ascii="Arial" w:hAnsi="Arial" w:cs="Arial"/>
          <w:sz w:val="22"/>
          <w:szCs w:val="22"/>
        </w:rPr>
        <w:t>l</w:t>
      </w:r>
      <w:r>
        <w:rPr>
          <w:rFonts w:ascii="Arial" w:hAnsi="Arial" w:cs="Arial"/>
          <w:sz w:val="22"/>
          <w:szCs w:val="22"/>
        </w:rPr>
        <w:t xml:space="preserve"> post</w:t>
      </w:r>
      <w:r w:rsidR="00C4768E">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C4768E">
        <w:rPr>
          <w:rFonts w:ascii="Arial" w:hAnsi="Arial" w:cs="Arial"/>
          <w:sz w:val="22"/>
          <w:szCs w:val="22"/>
        </w:rPr>
        <w:t>l</w:t>
      </w:r>
      <w:r>
        <w:rPr>
          <w:rFonts w:ascii="Arial" w:hAnsi="Arial" w:cs="Arial"/>
          <w:sz w:val="22"/>
          <w:szCs w:val="22"/>
        </w:rPr>
        <w:t xml:space="preserve"> vincitor</w:t>
      </w:r>
      <w:r w:rsidR="00C4768E">
        <w:rPr>
          <w:rFonts w:ascii="Arial" w:hAnsi="Arial" w:cs="Arial"/>
          <w:sz w:val="22"/>
          <w:szCs w:val="22"/>
        </w:rPr>
        <w:t>e</w:t>
      </w:r>
      <w:r>
        <w:rPr>
          <w:rFonts w:ascii="Arial" w:hAnsi="Arial" w:cs="Arial"/>
          <w:sz w:val="22"/>
          <w:szCs w:val="22"/>
        </w:rPr>
        <w:t xml:space="preserve"> del concorso sar</w:t>
      </w:r>
      <w:r w:rsidR="00C4768E">
        <w:rPr>
          <w:rFonts w:ascii="Arial" w:hAnsi="Arial" w:cs="Arial"/>
          <w:sz w:val="22"/>
          <w:szCs w:val="22"/>
        </w:rPr>
        <w:t xml:space="preserve">à </w:t>
      </w:r>
      <w:r>
        <w:rPr>
          <w:rFonts w:ascii="Arial" w:hAnsi="Arial" w:cs="Arial"/>
          <w:sz w:val="22"/>
          <w:szCs w:val="22"/>
        </w:rPr>
        <w:t>sottopost</w:t>
      </w:r>
      <w:r w:rsidR="00C4768E">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C4768E">
        <w:rPr>
          <w:rFonts w:ascii="Arial" w:hAnsi="Arial" w:cs="Arial"/>
          <w:sz w:val="22"/>
          <w:szCs w:val="22"/>
        </w:rPr>
        <w:t>l</w:t>
      </w:r>
      <w:r>
        <w:rPr>
          <w:rFonts w:ascii="Arial" w:hAnsi="Arial" w:cs="Arial"/>
          <w:sz w:val="22"/>
          <w:szCs w:val="22"/>
        </w:rPr>
        <w:t xml:space="preserve"> nominat</w:t>
      </w:r>
      <w:r w:rsidR="00C4768E">
        <w:rPr>
          <w:rFonts w:ascii="Arial" w:hAnsi="Arial" w:cs="Arial"/>
          <w:sz w:val="22"/>
          <w:szCs w:val="22"/>
        </w:rPr>
        <w:t>o</w:t>
      </w:r>
      <w:r>
        <w:rPr>
          <w:rFonts w:ascii="Arial" w:hAnsi="Arial" w:cs="Arial"/>
          <w:sz w:val="22"/>
          <w:szCs w:val="22"/>
        </w:rPr>
        <w:t xml:space="preserve"> vincitor</w:t>
      </w:r>
      <w:r w:rsidR="00C4768E">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dell’art.4, comma 1, del D.L. 44/2021 - </w:t>
      </w:r>
      <w:r w:rsidRPr="00D26B53">
        <w:rPr>
          <w:rFonts w:ascii="Arial" w:hAnsi="Arial" w:cs="Arial"/>
          <w:sz w:val="22"/>
          <w:szCs w:val="22"/>
        </w:rPr>
        <w:t>convertito con modificazioni in L. 28.5.2021 n. 76</w:t>
      </w:r>
      <w:r>
        <w:rPr>
          <w:rFonts w:ascii="Arial" w:hAnsi="Arial" w:cs="Arial"/>
          <w:sz w:val="22"/>
          <w:szCs w:val="22"/>
        </w:rPr>
        <w:t xml:space="preserve"> - è statuito l’obbligo di vaccinazione anti SARS-CoV-2 per gli Esercenti la professione sanitaria e per gli Operatori di interesse sanitario, in considerazione del fatto che la vaccinazione si configura quale requisito essenziale per l’esercizio della professione e per le prestazioni che dovranno essere rese da coloro nei confronti dei quali opera l’obbligo di vaccinazione.  </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w:t>
      </w:r>
      <w:r w:rsidR="00F10274">
        <w:rPr>
          <w:rFonts w:ascii="Arial" w:hAnsi="Arial" w:cs="Arial"/>
          <w:sz w:val="22"/>
          <w:szCs w:val="22"/>
        </w:rPr>
        <w:t>2</w:t>
      </w:r>
      <w:r>
        <w:rPr>
          <w:rFonts w:ascii="Arial" w:hAnsi="Arial" w:cs="Arial"/>
          <w:sz w:val="22"/>
          <w:szCs w:val="22"/>
        </w:rPr>
        <w:t>/20</w:t>
      </w:r>
      <w:r w:rsidR="00F10274">
        <w:rPr>
          <w:rFonts w:ascii="Arial" w:hAnsi="Arial" w:cs="Arial"/>
          <w:sz w:val="22"/>
          <w:szCs w:val="22"/>
        </w:rPr>
        <w:t>2</w:t>
      </w:r>
      <w:r>
        <w:rPr>
          <w:rFonts w:ascii="Arial" w:hAnsi="Arial" w:cs="Arial"/>
          <w:sz w:val="22"/>
          <w:szCs w:val="22"/>
        </w:rPr>
        <w:t xml:space="preserve">1  e </w:t>
      </w:r>
      <w:proofErr w:type="spellStart"/>
      <w:r>
        <w:rPr>
          <w:rFonts w:ascii="Arial" w:hAnsi="Arial" w:cs="Arial"/>
          <w:sz w:val="22"/>
          <w:szCs w:val="22"/>
        </w:rPr>
        <w:t>s.m.i.</w:t>
      </w:r>
      <w:proofErr w:type="spellEnd"/>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 </w:t>
      </w:r>
      <w:r>
        <w:rPr>
          <w:rFonts w:ascii="Arial" w:hAnsi="Arial" w:cs="Arial"/>
          <w:b/>
          <w:sz w:val="24"/>
          <w:szCs w:val="24"/>
          <w:u w:val="single"/>
        </w:rPr>
        <w:t>RITIRO DOCUMENTI E PUBBLICAZIONI</w:t>
      </w:r>
      <w:r>
        <w:rPr>
          <w:rFonts w:ascii="Arial" w:hAnsi="Arial" w:cs="Arial"/>
          <w:sz w:val="22"/>
          <w:szCs w:val="22"/>
        </w:rPr>
        <w:t xml:space="preserve"> </w:t>
      </w:r>
    </w:p>
    <w:p w:rsidR="00C61AB5" w:rsidRPr="007B4005" w:rsidRDefault="00C61AB5" w:rsidP="00C61AB5">
      <w:pPr>
        <w:tabs>
          <w:tab w:val="left" w:pos="993"/>
          <w:tab w:val="left" w:pos="9923"/>
        </w:tabs>
        <w:ind w:left="567"/>
        <w:jc w:val="both"/>
        <w:rPr>
          <w:rFonts w:ascii="Arial" w:hAnsi="Arial" w:cs="Arial"/>
          <w:sz w:val="22"/>
          <w:szCs w:val="22"/>
        </w:rPr>
      </w:pPr>
      <w:r w:rsidRPr="007B4005">
        <w:rPr>
          <w:rFonts w:ascii="Arial" w:hAnsi="Arial" w:cs="Arial"/>
          <w:sz w:val="22"/>
          <w:szCs w:val="22"/>
        </w:rPr>
        <w:t xml:space="preserve">I candidati dovranno provvedere, a loro spese, al ritiro di </w:t>
      </w:r>
      <w:r>
        <w:rPr>
          <w:rFonts w:ascii="Arial" w:hAnsi="Arial" w:cs="Arial"/>
          <w:sz w:val="22"/>
          <w:szCs w:val="22"/>
        </w:rPr>
        <w:t xml:space="preserve">eventuali </w:t>
      </w:r>
      <w:r w:rsidRPr="007B4005">
        <w:rPr>
          <w:rFonts w:ascii="Arial" w:hAnsi="Arial" w:cs="Arial"/>
          <w:sz w:val="22"/>
          <w:szCs w:val="22"/>
        </w:rPr>
        <w:t xml:space="preserve">documenti e pubblicazioni allegate alla domanda decorsi 120 giorni dalla data di pubblicazione </w:t>
      </w:r>
      <w:r>
        <w:rPr>
          <w:rFonts w:ascii="Arial" w:hAnsi="Arial" w:cs="Arial"/>
          <w:sz w:val="22"/>
          <w:szCs w:val="22"/>
        </w:rPr>
        <w:t>della graduatoria concorsuale sul Bollettino Ufficiale Regionale Lombardia</w:t>
      </w:r>
      <w:r w:rsidRPr="007B4005">
        <w:rPr>
          <w:rFonts w:ascii="Arial" w:hAnsi="Arial" w:cs="Arial"/>
          <w:sz w:val="22"/>
          <w:szCs w:val="22"/>
        </w:rPr>
        <w:t xml:space="preserve"> ed entro i successivi 60 gg. Trascorso tale termine fissato per il ritiro, senza che vi abbiano provveduto, documenti e pubblicazioni verranno inviati al macero.</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159/2011:Codice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r w:rsidRPr="00CC232F">
        <w:rPr>
          <w:rStyle w:val="fontstyle56"/>
          <w:rFonts w:ascii="Arial" w:hAnsi="Arial" w:cs="Arial"/>
          <w:sz w:val="22"/>
        </w:rPr>
        <w:t>ogni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lastRenderedPageBreak/>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DD552E">
        <w:rPr>
          <w:rFonts w:ascii="Arial" w:hAnsi="Arial" w:cs="Arial"/>
          <w:sz w:val="22"/>
          <w:szCs w:val="22"/>
        </w:rPr>
        <w:t>10 ottobre</w:t>
      </w:r>
      <w:r w:rsidR="006F6543">
        <w:rPr>
          <w:rFonts w:ascii="Arial" w:hAnsi="Arial" w:cs="Arial"/>
          <w:sz w:val="22"/>
          <w:szCs w:val="22"/>
        </w:rPr>
        <w:t xml:space="preserve"> </w:t>
      </w:r>
      <w:r>
        <w:rPr>
          <w:rFonts w:ascii="Arial" w:hAnsi="Arial" w:cs="Arial"/>
          <w:sz w:val="22"/>
          <w:szCs w:val="22"/>
        </w:rPr>
        <w:t>2022</w:t>
      </w:r>
    </w:p>
    <w:p w:rsidR="00C61AB5"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sectPr w:rsidR="00C61AB5"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B354B7" w:rsidRDefault="00B354B7">
      <w:r>
        <w:separator/>
      </w:r>
    </w:p>
  </w:endnote>
  <w:endnote w:type="continuationSeparator" w:id="0">
    <w:p w:rsidR="00B354B7" w:rsidRDefault="00B3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onotype Corsiva">
    <w:panose1 w:val="03010101010201010101"/>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altName w:val="Cambria"/>
    <w:panose1 w:val="00000000000000000000"/>
    <w:charset w:val="00"/>
    <w:family w:val="swiss"/>
    <w:notTrueType/>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B7" w:rsidRDefault="00B354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354B7" w:rsidRDefault="00B354B7">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4B7" w:rsidRPr="00240821" w:rsidRDefault="00B354B7"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B313D">
      <w:rPr>
        <w:rStyle w:val="Numeropagina"/>
        <w:rFonts w:ascii="Tahoma" w:hAnsi="Tahoma" w:cs="Tahoma"/>
        <w:noProof/>
      </w:rPr>
      <w:t>3</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B313D">
      <w:rPr>
        <w:rStyle w:val="Numeropagina"/>
        <w:rFonts w:ascii="Tahoma" w:hAnsi="Tahoma" w:cs="Tahoma"/>
        <w:noProof/>
      </w:rPr>
      <w:t>11</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B354B7" w:rsidRDefault="00B354B7">
      <w:r>
        <w:separator/>
      </w:r>
    </w:p>
  </w:footnote>
  <w:footnote w:type="continuationSeparator" w:id="0">
    <w:p w:rsidR="00B354B7" w:rsidRDefault="00B354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82F62"/>
    <w:rsid w:val="000A0BF0"/>
    <w:rsid w:val="000A4037"/>
    <w:rsid w:val="000B21C9"/>
    <w:rsid w:val="000B78D7"/>
    <w:rsid w:val="000C3389"/>
    <w:rsid w:val="000C49AB"/>
    <w:rsid w:val="000C51A6"/>
    <w:rsid w:val="000D0D81"/>
    <w:rsid w:val="000D711C"/>
    <w:rsid w:val="000D756F"/>
    <w:rsid w:val="000E02D2"/>
    <w:rsid w:val="000F37BC"/>
    <w:rsid w:val="000F7F5D"/>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A95"/>
    <w:rsid w:val="002B3F8A"/>
    <w:rsid w:val="002B4AC6"/>
    <w:rsid w:val="002B7FC7"/>
    <w:rsid w:val="002C3157"/>
    <w:rsid w:val="002D3A06"/>
    <w:rsid w:val="002D551B"/>
    <w:rsid w:val="002D5C76"/>
    <w:rsid w:val="002E03C0"/>
    <w:rsid w:val="002F1C9D"/>
    <w:rsid w:val="002F7049"/>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11C6"/>
    <w:rsid w:val="00422FED"/>
    <w:rsid w:val="0042693B"/>
    <w:rsid w:val="0043256E"/>
    <w:rsid w:val="00444FBB"/>
    <w:rsid w:val="00451BDC"/>
    <w:rsid w:val="004544A8"/>
    <w:rsid w:val="00461D3E"/>
    <w:rsid w:val="0046606D"/>
    <w:rsid w:val="00472E44"/>
    <w:rsid w:val="0047468B"/>
    <w:rsid w:val="0048273F"/>
    <w:rsid w:val="004860D7"/>
    <w:rsid w:val="00487E34"/>
    <w:rsid w:val="0049676D"/>
    <w:rsid w:val="004A335A"/>
    <w:rsid w:val="004A4224"/>
    <w:rsid w:val="004A7C30"/>
    <w:rsid w:val="004B171D"/>
    <w:rsid w:val="004C068B"/>
    <w:rsid w:val="004D06BB"/>
    <w:rsid w:val="004D3153"/>
    <w:rsid w:val="004D3214"/>
    <w:rsid w:val="004D4D8D"/>
    <w:rsid w:val="004E5B64"/>
    <w:rsid w:val="004F66E3"/>
    <w:rsid w:val="004F6DF9"/>
    <w:rsid w:val="00505B62"/>
    <w:rsid w:val="005061AA"/>
    <w:rsid w:val="005140B3"/>
    <w:rsid w:val="005140EA"/>
    <w:rsid w:val="00526212"/>
    <w:rsid w:val="0053586E"/>
    <w:rsid w:val="005409E6"/>
    <w:rsid w:val="00542846"/>
    <w:rsid w:val="00550CE8"/>
    <w:rsid w:val="00553050"/>
    <w:rsid w:val="00553C52"/>
    <w:rsid w:val="00562D66"/>
    <w:rsid w:val="00572AB0"/>
    <w:rsid w:val="00580068"/>
    <w:rsid w:val="00590A86"/>
    <w:rsid w:val="00593208"/>
    <w:rsid w:val="005A2D01"/>
    <w:rsid w:val="005A5DC0"/>
    <w:rsid w:val="005B313D"/>
    <w:rsid w:val="005B4C9F"/>
    <w:rsid w:val="005C595D"/>
    <w:rsid w:val="005D425C"/>
    <w:rsid w:val="005E1069"/>
    <w:rsid w:val="005E187E"/>
    <w:rsid w:val="005F1503"/>
    <w:rsid w:val="00607FD6"/>
    <w:rsid w:val="0061161D"/>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6543"/>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3464"/>
    <w:rsid w:val="00784572"/>
    <w:rsid w:val="0078523D"/>
    <w:rsid w:val="00785781"/>
    <w:rsid w:val="007917DE"/>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18DF"/>
    <w:rsid w:val="009F2EDD"/>
    <w:rsid w:val="009F7BB9"/>
    <w:rsid w:val="00A0642F"/>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600F"/>
    <w:rsid w:val="00AD757C"/>
    <w:rsid w:val="00AF2650"/>
    <w:rsid w:val="00B13C44"/>
    <w:rsid w:val="00B1621A"/>
    <w:rsid w:val="00B1725C"/>
    <w:rsid w:val="00B21EB2"/>
    <w:rsid w:val="00B24E25"/>
    <w:rsid w:val="00B261EA"/>
    <w:rsid w:val="00B343C0"/>
    <w:rsid w:val="00B354B7"/>
    <w:rsid w:val="00B41EB9"/>
    <w:rsid w:val="00B426FD"/>
    <w:rsid w:val="00B45E00"/>
    <w:rsid w:val="00B51467"/>
    <w:rsid w:val="00B55330"/>
    <w:rsid w:val="00B572FD"/>
    <w:rsid w:val="00B60CD1"/>
    <w:rsid w:val="00B6214E"/>
    <w:rsid w:val="00B65885"/>
    <w:rsid w:val="00B8572E"/>
    <w:rsid w:val="00B86F57"/>
    <w:rsid w:val="00B90A7C"/>
    <w:rsid w:val="00B91950"/>
    <w:rsid w:val="00B92FA0"/>
    <w:rsid w:val="00B972DC"/>
    <w:rsid w:val="00B9754C"/>
    <w:rsid w:val="00BA186A"/>
    <w:rsid w:val="00BA1D62"/>
    <w:rsid w:val="00BB74F6"/>
    <w:rsid w:val="00BC0AFB"/>
    <w:rsid w:val="00BC71F5"/>
    <w:rsid w:val="00BD0818"/>
    <w:rsid w:val="00BD290F"/>
    <w:rsid w:val="00BD4BE7"/>
    <w:rsid w:val="00BD5579"/>
    <w:rsid w:val="00BE7F27"/>
    <w:rsid w:val="00BF2EB2"/>
    <w:rsid w:val="00BF37D9"/>
    <w:rsid w:val="00BF7BE8"/>
    <w:rsid w:val="00C030A3"/>
    <w:rsid w:val="00C16B0F"/>
    <w:rsid w:val="00C31040"/>
    <w:rsid w:val="00C40CA3"/>
    <w:rsid w:val="00C4768E"/>
    <w:rsid w:val="00C558D9"/>
    <w:rsid w:val="00C61AB5"/>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70F9"/>
    <w:rsid w:val="00D61141"/>
    <w:rsid w:val="00D615E8"/>
    <w:rsid w:val="00D763CD"/>
    <w:rsid w:val="00D8032B"/>
    <w:rsid w:val="00D82EC7"/>
    <w:rsid w:val="00D84380"/>
    <w:rsid w:val="00D85A33"/>
    <w:rsid w:val="00D86F50"/>
    <w:rsid w:val="00DA6E08"/>
    <w:rsid w:val="00DB15DB"/>
    <w:rsid w:val="00DC3C2D"/>
    <w:rsid w:val="00DC3D07"/>
    <w:rsid w:val="00DD552E"/>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A0590"/>
    <w:rsid w:val="00EA7E24"/>
    <w:rsid w:val="00ED7233"/>
    <w:rsid w:val="00EE0505"/>
    <w:rsid w:val="00EE5E9C"/>
    <w:rsid w:val="00EF0A80"/>
    <w:rsid w:val="00EF7BDA"/>
    <w:rsid w:val="00F02451"/>
    <w:rsid w:val="00F05CFD"/>
    <w:rsid w:val="00F10274"/>
    <w:rsid w:val="00F207B7"/>
    <w:rsid w:val="00F21C12"/>
    <w:rsid w:val="00F23EAD"/>
    <w:rsid w:val="00F25154"/>
    <w:rsid w:val="00F260FF"/>
    <w:rsid w:val="00F2636C"/>
    <w:rsid w:val="00F271FC"/>
    <w:rsid w:val="00F366AE"/>
    <w:rsid w:val="00F448FD"/>
    <w:rsid w:val="00F51280"/>
    <w:rsid w:val="00F80433"/>
    <w:rsid w:val="00F85DD8"/>
    <w:rsid w:val="00F9591C"/>
    <w:rsid w:val="00FA26D4"/>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attere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atterepredefinitoparagrafo"/>
    <w:rsid w:val="00060449"/>
  </w:style>
  <w:style w:type="paragraph" w:styleId="Bloccoditest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attere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attere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attere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attere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deltesto">
    <w:name w:val="Body Text"/>
    <w:basedOn w:val="Normale"/>
    <w:link w:val="CorpodeltestoCarattere"/>
    <w:rsid w:val="00472E44"/>
    <w:pPr>
      <w:spacing w:after="120"/>
    </w:pPr>
  </w:style>
  <w:style w:type="character" w:customStyle="1" w:styleId="CorpodeltestoCarattere">
    <w:name w:val="Corpo del testo Carattere"/>
    <w:basedOn w:val="Caratterepredefinitoparagrafo"/>
    <w:link w:val="Corpodel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atterepredefinitoparagrafo"/>
    <w:link w:val="Corpodeltesto3"/>
    <w:rsid w:val="007B4005"/>
    <w:rPr>
      <w:sz w:val="16"/>
      <w:szCs w:val="16"/>
      <w:lang w:val="x-none" w:eastAsia="x-none"/>
    </w:rPr>
  </w:style>
  <w:style w:type="character" w:customStyle="1" w:styleId="TitoloCarattere">
    <w:name w:val="Titolo Carattere"/>
    <w:basedOn w:val="Carattere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attere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attere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attere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atterepredefinitoparagrafo"/>
    <w:rsid w:val="00060449"/>
  </w:style>
  <w:style w:type="paragraph" w:styleId="Bloccoditest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attere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attere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attere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attere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deltesto">
    <w:name w:val="Body Text"/>
    <w:basedOn w:val="Normale"/>
    <w:link w:val="CorpodeltestoCarattere"/>
    <w:rsid w:val="00472E44"/>
    <w:pPr>
      <w:spacing w:after="120"/>
    </w:pPr>
  </w:style>
  <w:style w:type="character" w:customStyle="1" w:styleId="CorpodeltestoCarattere">
    <w:name w:val="Corpo del testo Carattere"/>
    <w:basedOn w:val="Caratterepredefinitoparagrafo"/>
    <w:link w:val="Corpodel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atterepredefinitoparagrafo"/>
    <w:link w:val="Corpodeltesto3"/>
    <w:rsid w:val="007B4005"/>
    <w:rPr>
      <w:sz w:val="16"/>
      <w:szCs w:val="16"/>
      <w:lang w:val="x-none" w:eastAsia="x-none"/>
    </w:rPr>
  </w:style>
  <w:style w:type="character" w:customStyle="1" w:styleId="TitoloCarattere">
    <w:name w:val="Titolo Carattere"/>
    <w:basedOn w:val="Carattere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attere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attere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sst-valleolona.iscrizioneconcorsi.it" TargetMode="External"/><Relationship Id="rId12" Type="http://schemas.openxmlformats.org/officeDocument/2006/relationships/hyperlink" Target="http://www.asst-valleolona.it"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AEDBE-5D12-6F46-A71C-7EE6D0E7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5348</Words>
  <Characters>30488</Characters>
  <Application>Microsoft Macintosh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35765</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Mariagrazia Aspesi</cp:lastModifiedBy>
  <cp:revision>2</cp:revision>
  <cp:lastPrinted>2022-10-06T11:30:00Z</cp:lastPrinted>
  <dcterms:created xsi:type="dcterms:W3CDTF">2022-10-12T04:54:00Z</dcterms:created>
  <dcterms:modified xsi:type="dcterms:W3CDTF">2022-10-12T04:54:00Z</dcterms:modified>
</cp:coreProperties>
</file>